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65C95F" w14:textId="77777777" w:rsidR="00C7288E" w:rsidRDefault="00C7288E" w:rsidP="00C7288E">
      <w:pPr>
        <w:jc w:val="right"/>
        <w:rPr>
          <w:b/>
        </w:rPr>
      </w:pPr>
      <w:bookmarkStart w:id="0" w:name="_Toc183411672"/>
      <w:r w:rsidRPr="00DF4E93">
        <w:rPr>
          <w:b/>
          <w:highlight w:val="lightGray"/>
        </w:rPr>
        <w:t xml:space="preserve">Appendix </w:t>
      </w:r>
      <w:r w:rsidR="00E179C6">
        <w:rPr>
          <w:b/>
          <w:highlight w:val="lightGray"/>
        </w:rPr>
        <w:t>2</w:t>
      </w:r>
    </w:p>
    <w:p w14:paraId="51EB222B" w14:textId="77777777" w:rsidR="00C7288E" w:rsidRDefault="00C7288E" w:rsidP="00C7288E">
      <w:pPr>
        <w:rPr>
          <w:b/>
          <w:sz w:val="28"/>
          <w:szCs w:val="28"/>
          <w:u w:val="single"/>
        </w:rPr>
      </w:pPr>
    </w:p>
    <w:p w14:paraId="448AB1C0" w14:textId="39256622" w:rsidR="00C7288E" w:rsidRPr="00E06DE6" w:rsidRDefault="00C7288E" w:rsidP="00E06DE6">
      <w:pPr>
        <w:pStyle w:val="Heading1"/>
      </w:pPr>
      <w:r w:rsidRPr="00E06DE6">
        <w:t xml:space="preserve">Guidance for </w:t>
      </w:r>
      <w:r w:rsidR="00C931C8" w:rsidRPr="00E06DE6">
        <w:t>Mainstream School Sixth Form</w:t>
      </w:r>
      <w:r w:rsidRPr="00E06DE6">
        <w:t xml:space="preserve"> Top Up Funding – Norfolk County Council </w:t>
      </w:r>
      <w:r w:rsidR="00D60AD3" w:rsidRPr="00E06DE6">
        <w:t>2</w:t>
      </w:r>
      <w:r w:rsidR="00064DFD" w:rsidRPr="00E06DE6">
        <w:t>0</w:t>
      </w:r>
      <w:r w:rsidR="000B0DF8" w:rsidRPr="00E06DE6">
        <w:t>2</w:t>
      </w:r>
      <w:r w:rsidR="00044B0E" w:rsidRPr="00E06DE6">
        <w:t>5</w:t>
      </w:r>
      <w:r w:rsidR="00064DFD" w:rsidRPr="00E06DE6">
        <w:t>/26</w:t>
      </w:r>
      <w:r w:rsidRPr="00E06DE6">
        <w:t xml:space="preserve"> Academic Year</w:t>
      </w:r>
    </w:p>
    <w:p w14:paraId="17D1DC55" w14:textId="77777777" w:rsidR="00C7288E" w:rsidRPr="00761A9E" w:rsidRDefault="00C7288E" w:rsidP="00C7288E">
      <w:pPr>
        <w:rPr>
          <w:b/>
          <w:sz w:val="28"/>
          <w:szCs w:val="28"/>
          <w:u w:val="single"/>
        </w:rPr>
      </w:pPr>
    </w:p>
    <w:p w14:paraId="68FE6A97" w14:textId="30F570C6" w:rsidR="00C7288E" w:rsidRPr="00232493" w:rsidRDefault="00C7288E" w:rsidP="00C7288E">
      <w:pPr>
        <w:rPr>
          <w:b/>
          <w:bCs/>
        </w:rPr>
      </w:pPr>
      <w:r w:rsidRPr="00232493">
        <w:rPr>
          <w:b/>
          <w:bCs/>
        </w:rPr>
        <w:t xml:space="preserve">Please read in conjunction with </w:t>
      </w:r>
      <w:r w:rsidR="00C567BB" w:rsidRPr="00232493">
        <w:rPr>
          <w:b/>
          <w:bCs/>
        </w:rPr>
        <w:t xml:space="preserve">School Sixth Form </w:t>
      </w:r>
      <w:r w:rsidR="00A86528">
        <w:rPr>
          <w:b/>
          <w:bCs/>
        </w:rPr>
        <w:t>terms of reference (</w:t>
      </w:r>
      <w:r w:rsidR="00C567BB" w:rsidRPr="00232493">
        <w:rPr>
          <w:b/>
          <w:bCs/>
        </w:rPr>
        <w:t>TOR</w:t>
      </w:r>
      <w:r w:rsidR="00A86528">
        <w:rPr>
          <w:b/>
          <w:bCs/>
        </w:rPr>
        <w:t>)</w:t>
      </w:r>
      <w:r w:rsidR="00C567BB" w:rsidRPr="00232493">
        <w:rPr>
          <w:b/>
          <w:bCs/>
        </w:rPr>
        <w:t xml:space="preserve"> and Procedure</w:t>
      </w:r>
    </w:p>
    <w:p w14:paraId="034C082A" w14:textId="77777777" w:rsidR="00C7288E" w:rsidRPr="00761A9E" w:rsidRDefault="00C7288E" w:rsidP="00C7288E">
      <w:pPr>
        <w:rPr>
          <w:rStyle w:val="StyleArial14ptBold"/>
          <w:szCs w:val="28"/>
          <w:lang w:eastAsia="en-US"/>
        </w:rPr>
      </w:pPr>
    </w:p>
    <w:bookmarkEnd w:id="0"/>
    <w:p w14:paraId="16E1D68D" w14:textId="77777777" w:rsidR="00C7288E" w:rsidRPr="00761A9E" w:rsidRDefault="00C7288E" w:rsidP="00C7288E">
      <w:pPr>
        <w:numPr>
          <w:ilvl w:val="0"/>
          <w:numId w:val="1"/>
        </w:numPr>
        <w:rPr>
          <w:rFonts w:cs="Arial"/>
        </w:rPr>
      </w:pPr>
      <w:r w:rsidRPr="00761A9E">
        <w:rPr>
          <w:rFonts w:cs="Arial"/>
        </w:rPr>
        <w:t xml:space="preserve">This guidance is for </w:t>
      </w:r>
      <w:r>
        <w:rPr>
          <w:rFonts w:cs="Arial"/>
        </w:rPr>
        <w:t>Mainstream School Sixth Forms</w:t>
      </w:r>
      <w:r w:rsidRPr="00761A9E">
        <w:rPr>
          <w:rFonts w:cs="Arial"/>
        </w:rPr>
        <w:t xml:space="preserve"> for </w:t>
      </w:r>
      <w:smartTag w:uri="urn:schemas-microsoft-com:office:smarttags" w:element="place">
        <w:smartTag w:uri="urn:schemas-microsoft-com:office:smarttags" w:element="City">
          <w:r w:rsidRPr="00761A9E">
            <w:rPr>
              <w:rFonts w:cs="Arial"/>
            </w:rPr>
            <w:t>Norfolk</w:t>
          </w:r>
        </w:smartTag>
      </w:smartTag>
      <w:r w:rsidRPr="00761A9E">
        <w:rPr>
          <w:rFonts w:cs="Arial"/>
        </w:rPr>
        <w:t xml:space="preserve"> students.  </w:t>
      </w:r>
    </w:p>
    <w:p w14:paraId="70F0A7E7" w14:textId="77777777" w:rsidR="00C7288E" w:rsidRPr="00761A9E" w:rsidRDefault="00C7288E" w:rsidP="00C7288E">
      <w:pPr>
        <w:rPr>
          <w:rFonts w:cs="Arial"/>
        </w:rPr>
      </w:pPr>
    </w:p>
    <w:p w14:paraId="5B66411A" w14:textId="61BE28C8" w:rsidR="00C7288E" w:rsidRPr="00761A9E" w:rsidRDefault="00C7288E" w:rsidP="00C7288E">
      <w:pPr>
        <w:numPr>
          <w:ilvl w:val="0"/>
          <w:numId w:val="1"/>
        </w:numPr>
        <w:rPr>
          <w:rFonts w:cs="Arial"/>
        </w:rPr>
      </w:pPr>
      <w:r w:rsidRPr="00761A9E">
        <w:rPr>
          <w:rFonts w:cs="Arial"/>
        </w:rPr>
        <w:t>This</w:t>
      </w:r>
      <w:r>
        <w:rPr>
          <w:rFonts w:cs="Arial"/>
        </w:rPr>
        <w:t xml:space="preserve"> top up</w:t>
      </w:r>
      <w:r w:rsidRPr="00761A9E">
        <w:rPr>
          <w:rFonts w:cs="Arial"/>
        </w:rPr>
        <w:t xml:space="preserve"> funding stream from the</w:t>
      </w:r>
      <w:r>
        <w:rPr>
          <w:rFonts w:cs="Arial"/>
        </w:rPr>
        <w:t xml:space="preserve"> </w:t>
      </w:r>
      <w:r w:rsidR="00064DFD">
        <w:rPr>
          <w:rFonts w:cs="Arial"/>
        </w:rPr>
        <w:t>Department for Education (DfE)</w:t>
      </w:r>
      <w:r>
        <w:rPr>
          <w:rFonts w:cs="Arial"/>
        </w:rPr>
        <w:t xml:space="preserve"> is for </w:t>
      </w:r>
      <w:r w:rsidR="000339BC">
        <w:rPr>
          <w:rFonts w:cs="Arial"/>
        </w:rPr>
        <w:t>student</w:t>
      </w:r>
      <w:r>
        <w:rPr>
          <w:rFonts w:cs="Arial"/>
        </w:rPr>
        <w:t xml:space="preserve">s aged 16-18. </w:t>
      </w:r>
      <w:r w:rsidR="000339BC">
        <w:rPr>
          <w:rFonts w:cs="Arial"/>
        </w:rPr>
        <w:t>Student</w:t>
      </w:r>
      <w:r>
        <w:rPr>
          <w:rFonts w:cs="Arial"/>
        </w:rPr>
        <w:t>s</w:t>
      </w:r>
      <w:r w:rsidRPr="00761A9E">
        <w:rPr>
          <w:rFonts w:cs="Arial"/>
        </w:rPr>
        <w:t xml:space="preserve"> aged 19</w:t>
      </w:r>
      <w:r>
        <w:rPr>
          <w:rFonts w:cs="Arial"/>
        </w:rPr>
        <w:t xml:space="preserve"> </w:t>
      </w:r>
      <w:r w:rsidRPr="00761A9E">
        <w:rPr>
          <w:rFonts w:cs="Arial"/>
        </w:rPr>
        <w:t>can only acce</w:t>
      </w:r>
      <w:r>
        <w:rPr>
          <w:rFonts w:cs="Arial"/>
        </w:rPr>
        <w:t xml:space="preserve">ss this funding if they have </w:t>
      </w:r>
      <w:r w:rsidR="00B80013">
        <w:rPr>
          <w:rFonts w:cs="Arial"/>
        </w:rPr>
        <w:t>an EHCP</w:t>
      </w:r>
      <w:r w:rsidRPr="00761A9E">
        <w:rPr>
          <w:rFonts w:cs="Arial"/>
        </w:rPr>
        <w:t>.</w:t>
      </w:r>
      <w:r w:rsidR="00C567BB">
        <w:rPr>
          <w:rFonts w:cs="Arial"/>
        </w:rPr>
        <w:t xml:space="preserve"> The definition of a high </w:t>
      </w:r>
      <w:proofErr w:type="gramStart"/>
      <w:r w:rsidR="00C567BB">
        <w:rPr>
          <w:rFonts w:cs="Arial"/>
        </w:rPr>
        <w:t>needs</w:t>
      </w:r>
      <w:proofErr w:type="gramEnd"/>
      <w:r w:rsidR="00C567BB">
        <w:rPr>
          <w:rFonts w:cs="Arial"/>
        </w:rPr>
        <w:t xml:space="preserve"> </w:t>
      </w:r>
      <w:r w:rsidR="000339BC">
        <w:rPr>
          <w:rFonts w:cs="Arial"/>
        </w:rPr>
        <w:t>student</w:t>
      </w:r>
      <w:r w:rsidR="00C567BB">
        <w:rPr>
          <w:rFonts w:cs="Arial"/>
        </w:rPr>
        <w:t xml:space="preserve"> by the </w:t>
      </w:r>
      <w:r w:rsidR="00064DFD">
        <w:rPr>
          <w:rFonts w:cs="Arial"/>
        </w:rPr>
        <w:t xml:space="preserve">DfE </w:t>
      </w:r>
      <w:r w:rsidR="00C567BB">
        <w:rPr>
          <w:rFonts w:cs="Arial"/>
        </w:rPr>
        <w:t xml:space="preserve">is a </w:t>
      </w:r>
      <w:r w:rsidR="000339BC">
        <w:rPr>
          <w:rFonts w:cs="Arial"/>
        </w:rPr>
        <w:t xml:space="preserve">student </w:t>
      </w:r>
      <w:r w:rsidR="00C567BB">
        <w:rPr>
          <w:rFonts w:cs="Arial"/>
        </w:rPr>
        <w:t>costing more than £6,000 in support costs.</w:t>
      </w:r>
    </w:p>
    <w:p w14:paraId="7CDC69C5" w14:textId="77777777" w:rsidR="00C7288E" w:rsidRPr="00761A9E" w:rsidRDefault="00C7288E" w:rsidP="00C7288E">
      <w:pPr>
        <w:rPr>
          <w:rFonts w:cs="Arial"/>
        </w:rPr>
      </w:pPr>
    </w:p>
    <w:p w14:paraId="2ED296EA" w14:textId="5C97B71D" w:rsidR="00C7288E" w:rsidRPr="00761A9E" w:rsidRDefault="00C7288E" w:rsidP="00C7288E">
      <w:pPr>
        <w:numPr>
          <w:ilvl w:val="0"/>
          <w:numId w:val="1"/>
        </w:numPr>
        <w:rPr>
          <w:rFonts w:cs="Arial"/>
        </w:rPr>
      </w:pPr>
      <w:r w:rsidRPr="00761A9E">
        <w:rPr>
          <w:rFonts w:cs="Arial"/>
        </w:rPr>
        <w:t xml:space="preserve">All top up funding must be requested by the </w:t>
      </w:r>
      <w:r>
        <w:rPr>
          <w:rFonts w:cs="Arial"/>
        </w:rPr>
        <w:t xml:space="preserve">mainstream school sixth form </w:t>
      </w:r>
      <w:r w:rsidRPr="00761A9E">
        <w:rPr>
          <w:rFonts w:cs="Arial"/>
        </w:rPr>
        <w:t xml:space="preserve">to Norfolk County Council (NCC) as soon as high needs funding is identified as necessary.  It is envisaged that </w:t>
      </w:r>
      <w:proofErr w:type="gramStart"/>
      <w:r w:rsidRPr="00761A9E">
        <w:rPr>
          <w:rFonts w:cs="Arial"/>
        </w:rPr>
        <w:t>the majority of</w:t>
      </w:r>
      <w:proofErr w:type="gramEnd"/>
      <w:r w:rsidRPr="00761A9E">
        <w:rPr>
          <w:rFonts w:cs="Arial"/>
        </w:rPr>
        <w:t xml:space="preserve"> requests for top up funding would </w:t>
      </w:r>
      <w:r>
        <w:rPr>
          <w:rFonts w:cs="Arial"/>
        </w:rPr>
        <w:t xml:space="preserve">be </w:t>
      </w:r>
      <w:r w:rsidRPr="00761A9E">
        <w:rPr>
          <w:rFonts w:cs="Arial"/>
        </w:rPr>
        <w:t xml:space="preserve">forwarded to NCC by the end of </w:t>
      </w:r>
      <w:r w:rsidR="00064DFD">
        <w:rPr>
          <w:rFonts w:cs="Arial"/>
        </w:rPr>
        <w:t>June 2025</w:t>
      </w:r>
      <w:r w:rsidR="00D60AD3">
        <w:rPr>
          <w:rFonts w:cs="Arial"/>
        </w:rPr>
        <w:t>.</w:t>
      </w:r>
      <w:r w:rsidRPr="00761A9E">
        <w:rPr>
          <w:rFonts w:cs="Arial"/>
        </w:rPr>
        <w:t xml:space="preserve">  </w:t>
      </w:r>
    </w:p>
    <w:p w14:paraId="5FF45BA8" w14:textId="77777777" w:rsidR="00C7288E" w:rsidRPr="00761A9E" w:rsidRDefault="00C7288E" w:rsidP="00C7288E">
      <w:pPr>
        <w:rPr>
          <w:rStyle w:val="StyleArial14ptBold"/>
          <w:rFonts w:cs="Arial"/>
          <w:b w:val="0"/>
        </w:rPr>
      </w:pPr>
    </w:p>
    <w:p w14:paraId="3C6D3544" w14:textId="77777777" w:rsidR="00C7288E" w:rsidRPr="00761A9E" w:rsidRDefault="00C7288E" w:rsidP="00C7288E">
      <w:pPr>
        <w:numPr>
          <w:ilvl w:val="0"/>
          <w:numId w:val="1"/>
        </w:numPr>
        <w:rPr>
          <w:rFonts w:cs="Arial"/>
        </w:rPr>
      </w:pPr>
      <w:r w:rsidRPr="00761A9E">
        <w:rPr>
          <w:rFonts w:cs="Arial"/>
        </w:rPr>
        <w:t xml:space="preserve">For each individual learner </w:t>
      </w:r>
      <w:r>
        <w:rPr>
          <w:rFonts w:cs="Arial"/>
        </w:rPr>
        <w:t xml:space="preserve">who needs funding above </w:t>
      </w:r>
      <w:r w:rsidRPr="00761A9E">
        <w:rPr>
          <w:rFonts w:cs="Arial"/>
        </w:rPr>
        <w:t xml:space="preserve">the £6,000 threshold, </w:t>
      </w:r>
      <w:r>
        <w:rPr>
          <w:rFonts w:cs="Arial"/>
        </w:rPr>
        <w:t>school sixth forms</w:t>
      </w:r>
      <w:r w:rsidRPr="00761A9E">
        <w:rPr>
          <w:rFonts w:cs="Arial"/>
        </w:rPr>
        <w:t xml:space="preserve"> are required to complete in full the Top Up Request form</w:t>
      </w:r>
      <w:r>
        <w:rPr>
          <w:rFonts w:cs="Arial"/>
        </w:rPr>
        <w:t xml:space="preserve"> (Appendix 1)</w:t>
      </w:r>
      <w:r w:rsidRPr="00761A9E">
        <w:rPr>
          <w:rFonts w:cs="Arial"/>
        </w:rPr>
        <w:t xml:space="preserve">, which details a breakdown of support costs. </w:t>
      </w:r>
      <w:r w:rsidRPr="00761A9E">
        <w:rPr>
          <w:rFonts w:cs="Arial"/>
          <w:color w:val="000000"/>
        </w:rPr>
        <w:t xml:space="preserve">The form </w:t>
      </w:r>
      <w:r>
        <w:rPr>
          <w:rFonts w:cs="Arial"/>
          <w:color w:val="000000"/>
        </w:rPr>
        <w:t>must</w:t>
      </w:r>
      <w:r w:rsidRPr="00761A9E">
        <w:rPr>
          <w:rFonts w:cs="Arial"/>
          <w:color w:val="000000"/>
        </w:rPr>
        <w:t xml:space="preserve"> be signed by a member of the </w:t>
      </w:r>
      <w:r w:rsidR="00C931C8">
        <w:rPr>
          <w:rFonts w:cs="Arial"/>
          <w:color w:val="000000"/>
        </w:rPr>
        <w:t>sixth form</w:t>
      </w:r>
      <w:r w:rsidRPr="00761A9E">
        <w:rPr>
          <w:rFonts w:cs="Arial"/>
          <w:color w:val="000000"/>
        </w:rPr>
        <w:t xml:space="preserve">’s staff. </w:t>
      </w:r>
    </w:p>
    <w:p w14:paraId="44A1477F" w14:textId="77777777" w:rsidR="00C7288E" w:rsidRPr="00761A9E" w:rsidRDefault="00C7288E" w:rsidP="00C7288E">
      <w:pPr>
        <w:rPr>
          <w:rFonts w:cs="Arial"/>
        </w:rPr>
      </w:pPr>
    </w:p>
    <w:p w14:paraId="7A40AC26" w14:textId="77777777" w:rsidR="00C7288E" w:rsidRPr="00761A9E" w:rsidRDefault="00C7288E" w:rsidP="00C7288E">
      <w:pPr>
        <w:numPr>
          <w:ilvl w:val="0"/>
          <w:numId w:val="1"/>
        </w:numPr>
        <w:rPr>
          <w:rFonts w:cs="Arial"/>
        </w:rPr>
      </w:pPr>
      <w:r w:rsidRPr="00761A9E">
        <w:rPr>
          <w:rFonts w:cs="Arial"/>
          <w:color w:val="000000"/>
        </w:rPr>
        <w:t xml:space="preserve">It is intended that the form be retained by </w:t>
      </w:r>
      <w:r w:rsidR="002C3E76">
        <w:rPr>
          <w:rFonts w:cs="Arial"/>
          <w:color w:val="000000"/>
        </w:rPr>
        <w:t>the school sixth form</w:t>
      </w:r>
      <w:r w:rsidRPr="00761A9E">
        <w:rPr>
          <w:rFonts w:cs="Arial"/>
          <w:color w:val="000000"/>
        </w:rPr>
        <w:t xml:space="preserve"> as auditable evidence. Care should be taken to ensure that planned expenditure does not make disproportionate use of public funds.</w:t>
      </w:r>
    </w:p>
    <w:p w14:paraId="1E1925EB" w14:textId="77777777" w:rsidR="00C7288E" w:rsidRPr="00761A9E" w:rsidRDefault="00C7288E" w:rsidP="00C7288E">
      <w:pPr>
        <w:rPr>
          <w:rFonts w:cs="Arial"/>
        </w:rPr>
      </w:pPr>
    </w:p>
    <w:p w14:paraId="45D06271" w14:textId="77777777" w:rsidR="00C7288E" w:rsidRPr="00761A9E" w:rsidRDefault="00C7288E" w:rsidP="00C7288E">
      <w:pPr>
        <w:numPr>
          <w:ilvl w:val="0"/>
          <w:numId w:val="1"/>
        </w:numPr>
        <w:rPr>
          <w:rFonts w:cs="Arial"/>
        </w:rPr>
      </w:pPr>
      <w:r w:rsidRPr="00761A9E">
        <w:rPr>
          <w:rFonts w:cs="Arial"/>
        </w:rPr>
        <w:t xml:space="preserve">The Top Up Request Form must be completed at the pre-entry or entry stages of the learning programme, and must reflect, as accurately as possible, the anticipated support costs to be incurred during that academic year. </w:t>
      </w:r>
    </w:p>
    <w:p w14:paraId="665D5A1F" w14:textId="77777777" w:rsidR="00C7288E" w:rsidRPr="00761A9E" w:rsidRDefault="00C7288E" w:rsidP="00C7288E">
      <w:pPr>
        <w:rPr>
          <w:rFonts w:cs="Arial"/>
          <w:b/>
          <w:bCs/>
          <w:color w:val="00FF00"/>
        </w:rPr>
      </w:pPr>
    </w:p>
    <w:p w14:paraId="265745A2" w14:textId="77777777" w:rsidR="00C7288E" w:rsidRDefault="00C7288E" w:rsidP="00C567BB">
      <w:pPr>
        <w:numPr>
          <w:ilvl w:val="0"/>
          <w:numId w:val="1"/>
        </w:numPr>
        <w:rPr>
          <w:rFonts w:cs="Arial"/>
          <w:color w:val="000000"/>
        </w:rPr>
      </w:pPr>
      <w:r w:rsidRPr="00761A9E">
        <w:rPr>
          <w:rFonts w:cs="Arial"/>
          <w:bCs/>
          <w:color w:val="000000"/>
        </w:rPr>
        <w:t>T</w:t>
      </w:r>
      <w:r w:rsidRPr="00761A9E">
        <w:rPr>
          <w:rFonts w:cs="Arial"/>
          <w:color w:val="000000"/>
        </w:rPr>
        <w:t xml:space="preserve">he form is intended to provide a standard framework against which </w:t>
      </w:r>
      <w:r w:rsidR="002C3E76">
        <w:rPr>
          <w:rFonts w:cs="Arial"/>
          <w:color w:val="000000"/>
        </w:rPr>
        <w:t>school sixth forms</w:t>
      </w:r>
      <w:r w:rsidRPr="00761A9E">
        <w:rPr>
          <w:rFonts w:cs="Arial"/>
          <w:color w:val="000000"/>
        </w:rPr>
        <w:t xml:space="preserve"> may assess the additional needs of learners with learning difficulties and/or disabilities and the costs of assessing these needs. The cos</w:t>
      </w:r>
      <w:r w:rsidR="00C567BB">
        <w:rPr>
          <w:rFonts w:cs="Arial"/>
          <w:color w:val="000000"/>
        </w:rPr>
        <w:t xml:space="preserve">ts should </w:t>
      </w:r>
      <w:r w:rsidRPr="00761A9E">
        <w:rPr>
          <w:rFonts w:cs="Arial"/>
          <w:color w:val="000000"/>
        </w:rPr>
        <w:t>exclude the costs of staff training</w:t>
      </w:r>
      <w:r w:rsidR="00C567BB">
        <w:rPr>
          <w:rFonts w:cs="Arial"/>
          <w:color w:val="000000"/>
        </w:rPr>
        <w:t>.</w:t>
      </w:r>
    </w:p>
    <w:p w14:paraId="7D1720AE" w14:textId="77777777" w:rsidR="00C7288E" w:rsidRPr="00761A9E" w:rsidRDefault="00C7288E" w:rsidP="00C7288E">
      <w:pPr>
        <w:rPr>
          <w:rFonts w:cs="Arial"/>
          <w:b/>
          <w:bCs/>
          <w:color w:val="00FF00"/>
        </w:rPr>
      </w:pPr>
    </w:p>
    <w:p w14:paraId="7B4DA254" w14:textId="77777777" w:rsidR="00C7288E" w:rsidRPr="00761A9E" w:rsidRDefault="00C7288E" w:rsidP="00C7288E">
      <w:pPr>
        <w:numPr>
          <w:ilvl w:val="0"/>
          <w:numId w:val="1"/>
        </w:numPr>
        <w:rPr>
          <w:rFonts w:cs="Arial"/>
          <w:color w:val="000000"/>
        </w:rPr>
      </w:pPr>
      <w:r w:rsidRPr="00761A9E">
        <w:rPr>
          <w:rFonts w:cs="Arial"/>
          <w:color w:val="000000"/>
        </w:rPr>
        <w:t>The types of support provided for learners ma</w:t>
      </w:r>
      <w:r w:rsidR="00C567BB">
        <w:rPr>
          <w:rFonts w:cs="Arial"/>
          <w:color w:val="000000"/>
        </w:rPr>
        <w:t xml:space="preserve">y include the </w:t>
      </w:r>
      <w:proofErr w:type="gramStart"/>
      <w:r w:rsidR="00C567BB">
        <w:rPr>
          <w:rFonts w:cs="Arial"/>
          <w:color w:val="000000"/>
        </w:rPr>
        <w:t>following;</w:t>
      </w:r>
      <w:proofErr w:type="gramEnd"/>
    </w:p>
    <w:p w14:paraId="6C5958BD" w14:textId="77777777" w:rsidR="00C7288E" w:rsidRPr="00761A9E" w:rsidRDefault="00C7288E" w:rsidP="00C7288E">
      <w:pPr>
        <w:rPr>
          <w:rFonts w:cs="Arial"/>
          <w:color w:val="000000"/>
        </w:rPr>
      </w:pPr>
    </w:p>
    <w:p w14:paraId="3AAE3DFA" w14:textId="77777777" w:rsidR="00C7288E" w:rsidRDefault="00C7288E" w:rsidP="00C7288E">
      <w:pPr>
        <w:numPr>
          <w:ilvl w:val="0"/>
          <w:numId w:val="2"/>
        </w:numPr>
        <w:tabs>
          <w:tab w:val="clear" w:pos="720"/>
          <w:tab w:val="num" w:pos="1080"/>
        </w:tabs>
        <w:autoSpaceDE w:val="0"/>
        <w:autoSpaceDN w:val="0"/>
        <w:adjustRightInd w:val="0"/>
        <w:ind w:left="1080"/>
        <w:rPr>
          <w:rFonts w:cs="Arial"/>
          <w:color w:val="000000"/>
        </w:rPr>
      </w:pPr>
      <w:r w:rsidRPr="00761A9E">
        <w:rPr>
          <w:rFonts w:cs="Arial"/>
          <w:color w:val="000000"/>
        </w:rPr>
        <w:t>Additional teaching, to provide support in or out of the class.</w:t>
      </w:r>
    </w:p>
    <w:p w14:paraId="498C6847" w14:textId="77777777" w:rsidR="00C7288E" w:rsidRPr="00761A9E" w:rsidRDefault="00C7288E" w:rsidP="00C7288E">
      <w:pPr>
        <w:autoSpaceDE w:val="0"/>
        <w:autoSpaceDN w:val="0"/>
        <w:adjustRightInd w:val="0"/>
        <w:ind w:left="720"/>
        <w:rPr>
          <w:rFonts w:cs="Arial"/>
          <w:color w:val="000000"/>
        </w:rPr>
      </w:pPr>
    </w:p>
    <w:p w14:paraId="2A893812" w14:textId="77777777" w:rsidR="00C7288E" w:rsidRDefault="00C7288E" w:rsidP="00C7288E">
      <w:pPr>
        <w:numPr>
          <w:ilvl w:val="0"/>
          <w:numId w:val="2"/>
        </w:numPr>
        <w:tabs>
          <w:tab w:val="clear" w:pos="720"/>
          <w:tab w:val="num" w:pos="1080"/>
        </w:tabs>
        <w:autoSpaceDE w:val="0"/>
        <w:autoSpaceDN w:val="0"/>
        <w:adjustRightInd w:val="0"/>
        <w:ind w:left="1080"/>
        <w:rPr>
          <w:rFonts w:cs="Arial"/>
          <w:color w:val="000000"/>
        </w:rPr>
      </w:pPr>
      <w:r w:rsidRPr="00761A9E">
        <w:rPr>
          <w:rFonts w:cs="Arial"/>
          <w:color w:val="000000"/>
        </w:rPr>
        <w:t xml:space="preserve">Other specialist staffing: for example, personal care assistant; mobility assistant; reader; note-taker; amanuensis; in-class support assistant; dedicated technician (for supply, maintenance and training in the use of equipment for learners with disabilities and/or learning difficulties); specialist tutor (for example, teacher of the deaf, or teacher of learners with dyslexia); communication support worker (for example, </w:t>
      </w:r>
      <w:proofErr w:type="spellStart"/>
      <w:r w:rsidRPr="00761A9E">
        <w:rPr>
          <w:rFonts w:cs="Arial"/>
          <w:color w:val="000000"/>
        </w:rPr>
        <w:t>braillist</w:t>
      </w:r>
      <w:proofErr w:type="spellEnd"/>
      <w:r w:rsidRPr="00761A9E">
        <w:rPr>
          <w:rFonts w:cs="Arial"/>
          <w:color w:val="000000"/>
        </w:rPr>
        <w:t xml:space="preserve"> or support for </w:t>
      </w:r>
      <w:r w:rsidR="00B80013">
        <w:rPr>
          <w:rFonts w:cs="Arial"/>
          <w:color w:val="000000"/>
        </w:rPr>
        <w:t>blind</w:t>
      </w:r>
      <w:r w:rsidRPr="00761A9E">
        <w:rPr>
          <w:rFonts w:cs="Arial"/>
          <w:color w:val="000000"/>
        </w:rPr>
        <w:t xml:space="preserve"> learners); </w:t>
      </w:r>
      <w:r w:rsidRPr="00761A9E">
        <w:rPr>
          <w:rFonts w:cs="Arial"/>
          <w:color w:val="000000"/>
        </w:rPr>
        <w:lastRenderedPageBreak/>
        <w:t>additional tutor support for counselling and guidance for individual learners that relate to their disability; material adaptation worker; or educational psychologist.</w:t>
      </w:r>
    </w:p>
    <w:p w14:paraId="6D38E0EE" w14:textId="77777777" w:rsidR="00C7288E" w:rsidRPr="00761A9E" w:rsidRDefault="00C7288E" w:rsidP="00C7288E">
      <w:pPr>
        <w:autoSpaceDE w:val="0"/>
        <w:autoSpaceDN w:val="0"/>
        <w:adjustRightInd w:val="0"/>
        <w:rPr>
          <w:rFonts w:cs="Arial"/>
          <w:color w:val="000000"/>
        </w:rPr>
      </w:pPr>
    </w:p>
    <w:p w14:paraId="3A19F4DC" w14:textId="77777777" w:rsidR="00C7288E" w:rsidRDefault="00C7288E" w:rsidP="00C7288E">
      <w:pPr>
        <w:numPr>
          <w:ilvl w:val="0"/>
          <w:numId w:val="2"/>
        </w:numPr>
        <w:tabs>
          <w:tab w:val="clear" w:pos="720"/>
          <w:tab w:val="num" w:pos="1080"/>
        </w:tabs>
        <w:autoSpaceDE w:val="0"/>
        <w:autoSpaceDN w:val="0"/>
        <w:adjustRightInd w:val="0"/>
        <w:ind w:left="1080"/>
        <w:rPr>
          <w:rFonts w:cs="Arial"/>
          <w:color w:val="000000"/>
        </w:rPr>
      </w:pPr>
      <w:r w:rsidRPr="00761A9E">
        <w:rPr>
          <w:rFonts w:cs="Arial"/>
          <w:color w:val="000000"/>
        </w:rPr>
        <w:t xml:space="preserve">Funding for a speech therapist and/or a physiotherapist (where such support is identified in a learning programme as necessary to enable a learner to achieve their learning aims). Normally, the provision of such support should follow an assessment by an appropriately qualified person. </w:t>
      </w:r>
    </w:p>
    <w:p w14:paraId="10D37311" w14:textId="77777777" w:rsidR="00C7288E" w:rsidRPr="00761A9E" w:rsidRDefault="00C7288E" w:rsidP="00C7288E">
      <w:pPr>
        <w:autoSpaceDE w:val="0"/>
        <w:autoSpaceDN w:val="0"/>
        <w:adjustRightInd w:val="0"/>
        <w:rPr>
          <w:rFonts w:cs="Arial"/>
          <w:color w:val="000000"/>
        </w:rPr>
      </w:pPr>
    </w:p>
    <w:p w14:paraId="1AF2102C" w14:textId="77777777" w:rsidR="00C7288E" w:rsidRDefault="00C7288E" w:rsidP="00C7288E">
      <w:pPr>
        <w:numPr>
          <w:ilvl w:val="0"/>
          <w:numId w:val="2"/>
        </w:numPr>
        <w:tabs>
          <w:tab w:val="clear" w:pos="720"/>
          <w:tab w:val="num" w:pos="1080"/>
        </w:tabs>
        <w:autoSpaceDE w:val="0"/>
        <w:autoSpaceDN w:val="0"/>
        <w:adjustRightInd w:val="0"/>
        <w:ind w:left="1080"/>
        <w:rPr>
          <w:rFonts w:cs="Arial"/>
          <w:color w:val="000000"/>
        </w:rPr>
      </w:pPr>
      <w:r w:rsidRPr="00761A9E">
        <w:rPr>
          <w:rFonts w:cs="Arial"/>
          <w:color w:val="000000"/>
        </w:rPr>
        <w:t>Assessment and review pre-entry and on entry, on programme and on exit, where this involves specialist inputs or a higher level of input than that provided on the individual’s learning programme.</w:t>
      </w:r>
    </w:p>
    <w:p w14:paraId="536315EA" w14:textId="77777777" w:rsidR="00C7288E" w:rsidRPr="00761A9E" w:rsidRDefault="00C7288E" w:rsidP="00C7288E">
      <w:pPr>
        <w:autoSpaceDE w:val="0"/>
        <w:autoSpaceDN w:val="0"/>
        <w:adjustRightInd w:val="0"/>
        <w:rPr>
          <w:rFonts w:cs="Arial"/>
          <w:color w:val="000000"/>
        </w:rPr>
      </w:pPr>
    </w:p>
    <w:p w14:paraId="1B4C991D" w14:textId="77777777" w:rsidR="00C7288E" w:rsidRDefault="00C7288E" w:rsidP="00C7288E">
      <w:pPr>
        <w:numPr>
          <w:ilvl w:val="0"/>
          <w:numId w:val="2"/>
        </w:numPr>
        <w:tabs>
          <w:tab w:val="clear" w:pos="720"/>
          <w:tab w:val="num" w:pos="1080"/>
        </w:tabs>
        <w:autoSpaceDE w:val="0"/>
        <w:autoSpaceDN w:val="0"/>
        <w:adjustRightInd w:val="0"/>
        <w:ind w:left="1080"/>
        <w:rPr>
          <w:rFonts w:cs="Arial"/>
          <w:color w:val="000000"/>
        </w:rPr>
      </w:pPr>
      <w:r w:rsidRPr="00761A9E">
        <w:rPr>
          <w:rFonts w:cs="Arial"/>
          <w:color w:val="000000"/>
        </w:rPr>
        <w:t>Personal counselling, where such support is necessary to enable a learner to achieve their learning goal.</w:t>
      </w:r>
    </w:p>
    <w:p w14:paraId="649A9E9C" w14:textId="77777777" w:rsidR="00C7288E" w:rsidRPr="00761A9E" w:rsidRDefault="00C7288E" w:rsidP="00C7288E">
      <w:pPr>
        <w:autoSpaceDE w:val="0"/>
        <w:autoSpaceDN w:val="0"/>
        <w:adjustRightInd w:val="0"/>
        <w:rPr>
          <w:rFonts w:cs="Arial"/>
          <w:color w:val="000000"/>
        </w:rPr>
      </w:pPr>
    </w:p>
    <w:p w14:paraId="1AC3C5E7" w14:textId="77777777" w:rsidR="00C7288E" w:rsidRDefault="00C7288E" w:rsidP="00C7288E">
      <w:pPr>
        <w:numPr>
          <w:ilvl w:val="0"/>
          <w:numId w:val="2"/>
        </w:numPr>
        <w:tabs>
          <w:tab w:val="clear" w:pos="720"/>
          <w:tab w:val="num" w:pos="1080"/>
        </w:tabs>
        <w:autoSpaceDE w:val="0"/>
        <w:autoSpaceDN w:val="0"/>
        <w:adjustRightInd w:val="0"/>
        <w:ind w:left="1080"/>
        <w:rPr>
          <w:rFonts w:cs="Arial"/>
          <w:color w:val="000000"/>
        </w:rPr>
      </w:pPr>
      <w:r w:rsidRPr="00761A9E">
        <w:rPr>
          <w:rFonts w:cs="Arial"/>
          <w:color w:val="000000"/>
        </w:rPr>
        <w:t xml:space="preserve">The use of alternative technology that is now available on the market that replaces the need for some of the above expenditure and for which any capital costs can be claimed through the advice below on depreciation and costs. For example, Ofsted and other agencies have commented that many learners would prefer to use a piece of equipment that allows them to read/hear it for themselves rather than rely on a support worker reading things to them. The prices of such equipment now available on the market often support this as a more </w:t>
      </w:r>
      <w:proofErr w:type="gramStart"/>
      <w:r w:rsidRPr="00761A9E">
        <w:rPr>
          <w:rFonts w:cs="Arial"/>
          <w:color w:val="000000"/>
        </w:rPr>
        <w:t>cost effective</w:t>
      </w:r>
      <w:proofErr w:type="gramEnd"/>
      <w:r w:rsidRPr="00761A9E">
        <w:rPr>
          <w:rFonts w:cs="Arial"/>
          <w:color w:val="000000"/>
        </w:rPr>
        <w:t xml:space="preserve"> approach.</w:t>
      </w:r>
    </w:p>
    <w:p w14:paraId="638BF2BA" w14:textId="77777777" w:rsidR="00C7288E" w:rsidRPr="00761A9E" w:rsidRDefault="00C7288E" w:rsidP="00C7288E">
      <w:pPr>
        <w:autoSpaceDE w:val="0"/>
        <w:autoSpaceDN w:val="0"/>
        <w:adjustRightInd w:val="0"/>
        <w:rPr>
          <w:rFonts w:cs="Arial"/>
          <w:color w:val="000000"/>
        </w:rPr>
      </w:pPr>
    </w:p>
    <w:p w14:paraId="0AEBB22C" w14:textId="77777777" w:rsidR="00C7288E" w:rsidRPr="00761A9E" w:rsidRDefault="00C7288E" w:rsidP="00C7288E">
      <w:pPr>
        <w:numPr>
          <w:ilvl w:val="0"/>
          <w:numId w:val="1"/>
        </w:numPr>
        <w:rPr>
          <w:rFonts w:cs="Arial"/>
          <w:color w:val="000000"/>
        </w:rPr>
      </w:pPr>
      <w:r w:rsidRPr="00761A9E">
        <w:rPr>
          <w:rFonts w:cs="Arial"/>
          <w:color w:val="000000"/>
        </w:rPr>
        <w:t>While actual equipment costs cannot be claimed through top up support funding, a depreciation charge for the equipment may be included. It should be calculated by dividing the actual cost of the equipment by the estimated number of years of its useful life. Only the appropriate element of depreciation for equipment used by the learner for the time it was used is can be claimed.</w:t>
      </w:r>
    </w:p>
    <w:p w14:paraId="0F1F0B58" w14:textId="77777777" w:rsidR="00C7288E" w:rsidRPr="00761A9E" w:rsidRDefault="00C7288E" w:rsidP="00C7288E">
      <w:pPr>
        <w:rPr>
          <w:rFonts w:cs="Arial"/>
        </w:rPr>
      </w:pPr>
    </w:p>
    <w:p w14:paraId="3502DBC7" w14:textId="77777777" w:rsidR="00C7288E" w:rsidRPr="00761A9E" w:rsidRDefault="00C7288E" w:rsidP="00C7288E">
      <w:pPr>
        <w:numPr>
          <w:ilvl w:val="0"/>
          <w:numId w:val="1"/>
        </w:numPr>
        <w:rPr>
          <w:rFonts w:cs="Arial"/>
          <w:color w:val="000000"/>
        </w:rPr>
      </w:pPr>
      <w:r w:rsidRPr="00761A9E">
        <w:rPr>
          <w:rFonts w:cs="Arial"/>
          <w:color w:val="000000"/>
        </w:rPr>
        <w:t>Providers should not include overhead costs such as central services or premises costs in the calculation of additional costs, as these are already met from the base unit of resource in recurrent funding.</w:t>
      </w:r>
    </w:p>
    <w:p w14:paraId="49B62C98" w14:textId="77777777" w:rsidR="00C7288E" w:rsidRPr="00761A9E" w:rsidRDefault="00C7288E" w:rsidP="00C7288E">
      <w:pPr>
        <w:rPr>
          <w:rFonts w:cs="Arial"/>
          <w:color w:val="000000"/>
        </w:rPr>
      </w:pPr>
    </w:p>
    <w:p w14:paraId="6CD9B21C" w14:textId="77777777" w:rsidR="00C7288E" w:rsidRPr="00761A9E" w:rsidRDefault="00C7288E" w:rsidP="00C7288E">
      <w:pPr>
        <w:numPr>
          <w:ilvl w:val="0"/>
          <w:numId w:val="1"/>
        </w:numPr>
        <w:rPr>
          <w:rFonts w:cs="Arial"/>
          <w:color w:val="000000"/>
        </w:rPr>
      </w:pPr>
      <w:r w:rsidRPr="00761A9E">
        <w:rPr>
          <w:rFonts w:cs="Arial"/>
          <w:color w:val="000000"/>
        </w:rPr>
        <w:t>No expenditure for building modification can be claimed under this support funding.</w:t>
      </w:r>
    </w:p>
    <w:p w14:paraId="7692D5C7" w14:textId="77777777" w:rsidR="00C7288E" w:rsidRPr="00761A9E" w:rsidRDefault="00C7288E" w:rsidP="00C7288E">
      <w:pPr>
        <w:rPr>
          <w:rFonts w:cs="Arial"/>
          <w:color w:val="000000"/>
        </w:rPr>
      </w:pPr>
    </w:p>
    <w:p w14:paraId="7A202C00" w14:textId="77C79898" w:rsidR="00C7288E" w:rsidRPr="00761A9E" w:rsidRDefault="00C7288E" w:rsidP="00C7288E">
      <w:pPr>
        <w:numPr>
          <w:ilvl w:val="0"/>
          <w:numId w:val="1"/>
        </w:numPr>
        <w:rPr>
          <w:rFonts w:cs="Arial"/>
          <w:color w:val="000000"/>
        </w:rPr>
      </w:pPr>
      <w:r w:rsidRPr="00761A9E">
        <w:rPr>
          <w:rFonts w:cs="Arial"/>
          <w:color w:val="000000"/>
        </w:rPr>
        <w:t xml:space="preserve">Additional teaching costs should be based on staff salaries plus on-costs and contracted hours. </w:t>
      </w:r>
      <w:bookmarkStart w:id="1" w:name="_Hlk163551925"/>
      <w:r w:rsidR="00064DFD">
        <w:rPr>
          <w:rFonts w:cs="Arial"/>
          <w:color w:val="000000"/>
        </w:rPr>
        <w:t>Teacher p</w:t>
      </w:r>
      <w:r w:rsidR="00044B0E">
        <w:rPr>
          <w:rFonts w:cs="Arial"/>
          <w:color w:val="000000"/>
        </w:rPr>
        <w:t xml:space="preserve">ension costs are not to be included as they are funded separately through the </w:t>
      </w:r>
      <w:r w:rsidR="00064DFD">
        <w:rPr>
          <w:rFonts w:cs="Arial"/>
          <w:color w:val="000000"/>
        </w:rPr>
        <w:t>DfE</w:t>
      </w:r>
      <w:r w:rsidR="00044B0E">
        <w:rPr>
          <w:rFonts w:cs="Arial"/>
          <w:color w:val="000000"/>
        </w:rPr>
        <w:t xml:space="preserve"> a</w:t>
      </w:r>
      <w:r w:rsidR="002179E6">
        <w:rPr>
          <w:rFonts w:cs="Arial"/>
          <w:color w:val="000000"/>
        </w:rPr>
        <w:t xml:space="preserve">s schools </w:t>
      </w:r>
      <w:r w:rsidR="00044B0E">
        <w:rPr>
          <w:rFonts w:cs="Arial"/>
          <w:color w:val="000000"/>
        </w:rPr>
        <w:t xml:space="preserve">receive a teachers’ pension scheme employer contribution grant.  </w:t>
      </w:r>
      <w:bookmarkEnd w:id="1"/>
      <w:r w:rsidRPr="00761A9E">
        <w:rPr>
          <w:rFonts w:cs="Arial"/>
          <w:color w:val="000000"/>
        </w:rPr>
        <w:t>Costs for support staff should be calculated in the same way as costs for additional teaching.</w:t>
      </w:r>
    </w:p>
    <w:p w14:paraId="3F44EDD1" w14:textId="77777777" w:rsidR="00C7288E" w:rsidRPr="00761A9E" w:rsidRDefault="00C7288E" w:rsidP="00C7288E">
      <w:pPr>
        <w:rPr>
          <w:rFonts w:cs="Arial"/>
          <w:color w:val="000000"/>
        </w:rPr>
      </w:pPr>
    </w:p>
    <w:p w14:paraId="52644178" w14:textId="1563C642" w:rsidR="00C7288E" w:rsidRPr="00761A9E" w:rsidRDefault="00C7288E" w:rsidP="00C7288E">
      <w:pPr>
        <w:numPr>
          <w:ilvl w:val="0"/>
          <w:numId w:val="1"/>
        </w:numPr>
        <w:rPr>
          <w:rFonts w:cs="Arial"/>
          <w:color w:val="000000"/>
        </w:rPr>
      </w:pPr>
      <w:r w:rsidRPr="00761A9E">
        <w:rPr>
          <w:rFonts w:cs="Arial"/>
          <w:color w:val="000000"/>
        </w:rPr>
        <w:t>The costings should relate to direct learning support for individual learners. The costs of a learning</w:t>
      </w:r>
      <w:r w:rsidR="00064DFD">
        <w:rPr>
          <w:rFonts w:cs="Arial"/>
          <w:color w:val="000000"/>
        </w:rPr>
        <w:t xml:space="preserve"> </w:t>
      </w:r>
      <w:r w:rsidRPr="00761A9E">
        <w:rPr>
          <w:rFonts w:cs="Arial"/>
          <w:color w:val="000000"/>
        </w:rPr>
        <w:t>support co-ordinator may be included where the member of staff concerned is providing direct support to an individual learner.</w:t>
      </w:r>
    </w:p>
    <w:p w14:paraId="6B306A90" w14:textId="77777777" w:rsidR="00C7288E" w:rsidRPr="00761A9E" w:rsidRDefault="00C7288E" w:rsidP="00C7288E">
      <w:pPr>
        <w:rPr>
          <w:rFonts w:cs="Arial"/>
          <w:color w:val="000000"/>
        </w:rPr>
      </w:pPr>
    </w:p>
    <w:p w14:paraId="3B750B93" w14:textId="77777777" w:rsidR="00C7288E" w:rsidRPr="00761A9E" w:rsidRDefault="00C7288E" w:rsidP="00C7288E">
      <w:pPr>
        <w:numPr>
          <w:ilvl w:val="0"/>
          <w:numId w:val="1"/>
        </w:numPr>
        <w:rPr>
          <w:rFonts w:cs="Arial"/>
          <w:color w:val="000000"/>
        </w:rPr>
      </w:pPr>
      <w:r w:rsidRPr="00761A9E">
        <w:rPr>
          <w:rFonts w:cs="Arial"/>
          <w:color w:val="000000"/>
        </w:rPr>
        <w:t>The costs of any assessments required to identify equipment needs can be included in the costing of initial assessment. Maintenance of equipment, and training for the learner in the use of the equipment, can also be included. Where a learner needs to have their learning materials adapted, the cost of preparation can be included in the form. This may involve tutor, administrator or support-staff costs.</w:t>
      </w:r>
    </w:p>
    <w:p w14:paraId="1449EA96" w14:textId="77777777" w:rsidR="00C7288E" w:rsidRPr="00761A9E" w:rsidRDefault="00C7288E" w:rsidP="00C7288E">
      <w:pPr>
        <w:rPr>
          <w:rFonts w:cs="Arial"/>
          <w:color w:val="000000"/>
        </w:rPr>
      </w:pPr>
    </w:p>
    <w:p w14:paraId="72B92A58" w14:textId="77777777" w:rsidR="00C7288E" w:rsidRPr="00761A9E" w:rsidRDefault="00C7288E" w:rsidP="00C7288E">
      <w:pPr>
        <w:numPr>
          <w:ilvl w:val="0"/>
          <w:numId w:val="1"/>
        </w:numPr>
        <w:rPr>
          <w:rFonts w:cs="Arial"/>
          <w:color w:val="000000"/>
        </w:rPr>
      </w:pPr>
      <w:r w:rsidRPr="00761A9E">
        <w:rPr>
          <w:rFonts w:cs="Arial"/>
          <w:color w:val="000000"/>
        </w:rPr>
        <w:t>The cost of providing support during the assessment of achievement should be included. This might include, for example, extra examination invigilator time, a notetaker or an amanuensis.</w:t>
      </w:r>
    </w:p>
    <w:p w14:paraId="449A7877" w14:textId="77777777" w:rsidR="00C7288E" w:rsidRPr="00761A9E" w:rsidRDefault="00C7288E" w:rsidP="00C7288E">
      <w:pPr>
        <w:rPr>
          <w:rFonts w:cs="Arial"/>
          <w:color w:val="000000"/>
        </w:rPr>
      </w:pPr>
    </w:p>
    <w:p w14:paraId="750C48DD" w14:textId="77777777" w:rsidR="00C7288E" w:rsidRPr="00761A9E" w:rsidRDefault="00C7288E" w:rsidP="00C7288E">
      <w:pPr>
        <w:numPr>
          <w:ilvl w:val="0"/>
          <w:numId w:val="1"/>
        </w:numPr>
        <w:rPr>
          <w:rFonts w:cs="Arial"/>
          <w:color w:val="000000"/>
        </w:rPr>
      </w:pPr>
      <w:r w:rsidRPr="00761A9E">
        <w:rPr>
          <w:rFonts w:cs="Arial"/>
          <w:color w:val="000000"/>
        </w:rPr>
        <w:t>The cost of transport can be included where the learner is being transported between provider sites or where transport to a particular place is an integral part of meeting the learner’s learning support needs, for example, as part of the learner’s mobility training.</w:t>
      </w:r>
    </w:p>
    <w:p w14:paraId="73544C1B" w14:textId="77777777" w:rsidR="00C7288E" w:rsidRPr="00761A9E" w:rsidRDefault="00C7288E" w:rsidP="00C7288E">
      <w:pPr>
        <w:rPr>
          <w:rFonts w:cs="Arial"/>
          <w:color w:val="000000"/>
        </w:rPr>
      </w:pPr>
    </w:p>
    <w:p w14:paraId="03F89189" w14:textId="77777777" w:rsidR="00C7288E" w:rsidRPr="00761A9E" w:rsidRDefault="00C7288E" w:rsidP="00C7288E">
      <w:pPr>
        <w:numPr>
          <w:ilvl w:val="0"/>
          <w:numId w:val="1"/>
        </w:numPr>
        <w:rPr>
          <w:rFonts w:cs="Arial"/>
          <w:color w:val="000000"/>
        </w:rPr>
      </w:pPr>
      <w:r w:rsidRPr="00761A9E">
        <w:rPr>
          <w:rFonts w:cs="Arial"/>
          <w:color w:val="000000"/>
        </w:rPr>
        <w:t xml:space="preserve">Administrative costs </w:t>
      </w:r>
      <w:proofErr w:type="gramStart"/>
      <w:r w:rsidRPr="00761A9E">
        <w:rPr>
          <w:rFonts w:cs="Arial"/>
          <w:color w:val="000000"/>
        </w:rPr>
        <w:t>in excess of</w:t>
      </w:r>
      <w:proofErr w:type="gramEnd"/>
      <w:r w:rsidRPr="00761A9E">
        <w:rPr>
          <w:rFonts w:cs="Arial"/>
          <w:color w:val="000000"/>
        </w:rPr>
        <w:t xml:space="preserve"> the usual requirements for an individual can be included in the costings. For example, this could include liaison time with other agencies and time spent negotiating special examination facilities.</w:t>
      </w:r>
    </w:p>
    <w:p w14:paraId="71F3F3A2" w14:textId="77777777" w:rsidR="00C7288E" w:rsidRPr="00761A9E" w:rsidRDefault="00C7288E" w:rsidP="00C7288E">
      <w:pPr>
        <w:pStyle w:val="TableNote"/>
        <w:rPr>
          <w:rFonts w:cs="Arial"/>
        </w:rPr>
      </w:pPr>
    </w:p>
    <w:p w14:paraId="36D676E7" w14:textId="77777777" w:rsidR="00C7288E" w:rsidRPr="00761A9E" w:rsidRDefault="00C7288E" w:rsidP="00C7288E">
      <w:pPr>
        <w:autoSpaceDE w:val="0"/>
        <w:autoSpaceDN w:val="0"/>
        <w:adjustRightInd w:val="0"/>
        <w:rPr>
          <w:rFonts w:cs="Arial"/>
          <w:b/>
          <w:bCs/>
        </w:rPr>
      </w:pPr>
    </w:p>
    <w:p w14:paraId="5C9C48DE" w14:textId="77777777" w:rsidR="00C7288E" w:rsidRDefault="00C7288E" w:rsidP="00C7288E">
      <w:pPr>
        <w:pStyle w:val="ListParagraph"/>
        <w:rPr>
          <w:rFonts w:cs="Arial"/>
          <w:color w:val="000000"/>
        </w:rPr>
      </w:pPr>
    </w:p>
    <w:p w14:paraId="72A45B64" w14:textId="77777777" w:rsidR="00C7288E" w:rsidRDefault="00C7288E"/>
    <w:sectPr w:rsidR="00C7288E" w:rsidSect="00D07460">
      <w:footerReference w:type="default" r:id="rId10"/>
      <w:pgSz w:w="11906" w:h="16838" w:code="9"/>
      <w:pgMar w:top="1134" w:right="1797" w:bottom="1134"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EA3DE7" w14:textId="77777777" w:rsidR="00565B9D" w:rsidRDefault="00565B9D">
      <w:r>
        <w:separator/>
      </w:r>
    </w:p>
  </w:endnote>
  <w:endnote w:type="continuationSeparator" w:id="0">
    <w:p w14:paraId="3B6CAB01" w14:textId="77777777" w:rsidR="00565B9D" w:rsidRDefault="00565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8A54A4" w14:textId="77777777" w:rsidR="00D07460" w:rsidRDefault="00D07460" w:rsidP="00D07460">
    <w:pPr>
      <w:pStyle w:val="Footer"/>
      <w:jc w:val="right"/>
      <w:rPr>
        <w:rFonts w:cs="Arial"/>
        <w:sz w:val="20"/>
        <w:szCs w:val="20"/>
      </w:rPr>
    </w:pPr>
    <w:r w:rsidRPr="00A20F41">
      <w:rPr>
        <w:rFonts w:cs="Arial"/>
        <w:sz w:val="20"/>
        <w:szCs w:val="20"/>
      </w:rPr>
      <w:t xml:space="preserve">Post 16 High Needs Funding Panel </w:t>
    </w:r>
  </w:p>
  <w:p w14:paraId="1FDE0487" w14:textId="77777777" w:rsidR="00D07460" w:rsidRDefault="00D074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52F701" w14:textId="77777777" w:rsidR="00565B9D" w:rsidRDefault="00565B9D">
      <w:r>
        <w:separator/>
      </w:r>
    </w:p>
  </w:footnote>
  <w:footnote w:type="continuationSeparator" w:id="0">
    <w:p w14:paraId="77A98C7B" w14:textId="77777777" w:rsidR="00565B9D" w:rsidRDefault="00565B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D61FBD"/>
    <w:multiLevelType w:val="hybridMultilevel"/>
    <w:tmpl w:val="E1201634"/>
    <w:lvl w:ilvl="0" w:tplc="D6D074C8">
      <w:start w:val="1"/>
      <w:numFmt w:val="decimal"/>
      <w:lvlText w:val="%1."/>
      <w:lvlJc w:val="left"/>
      <w:pPr>
        <w:tabs>
          <w:tab w:val="num" w:pos="709"/>
        </w:tabs>
        <w:ind w:left="709" w:hanging="709"/>
      </w:pPr>
      <w:rPr>
        <w:rFonts w:ascii="Arial" w:hAnsi="Arial" w:cs="Arial" w:hint="default"/>
        <w:b w:val="0"/>
        <w:i w:val="0"/>
        <w:color w:val="auto"/>
        <w:sz w:val="24"/>
        <w:szCs w:val="24"/>
      </w:rPr>
    </w:lvl>
    <w:lvl w:ilvl="1" w:tplc="08090003">
      <w:start w:val="1"/>
      <w:numFmt w:val="lowerLetter"/>
      <w:lvlText w:val="%2."/>
      <w:lvlJc w:val="left"/>
      <w:pPr>
        <w:tabs>
          <w:tab w:val="num" w:pos="840"/>
        </w:tabs>
        <w:ind w:left="840" w:hanging="360"/>
      </w:pPr>
      <w:rPr>
        <w:rFonts w:cs="Times New Roman" w:hint="default"/>
        <w:i w:val="0"/>
        <w:sz w:val="24"/>
        <w:szCs w:val="24"/>
      </w:rPr>
    </w:lvl>
    <w:lvl w:ilvl="2" w:tplc="08090005">
      <w:start w:val="1"/>
      <w:numFmt w:val="decimal"/>
      <w:lvlText w:val="%3)"/>
      <w:lvlJc w:val="left"/>
      <w:pPr>
        <w:tabs>
          <w:tab w:val="num" w:pos="2340"/>
        </w:tabs>
        <w:ind w:left="234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tentative="1">
      <w:start w:val="1"/>
      <w:numFmt w:val="lowerLetter"/>
      <w:lvlText w:val="%5."/>
      <w:lvlJc w:val="left"/>
      <w:pPr>
        <w:tabs>
          <w:tab w:val="num" w:pos="3600"/>
        </w:tabs>
        <w:ind w:left="3600" w:hanging="360"/>
      </w:pPr>
      <w:rPr>
        <w:rFonts w:cs="Times New Roman"/>
      </w:rPr>
    </w:lvl>
    <w:lvl w:ilvl="5" w:tplc="08090005" w:tentative="1">
      <w:start w:val="1"/>
      <w:numFmt w:val="lowerRoman"/>
      <w:lvlText w:val="%6."/>
      <w:lvlJc w:val="right"/>
      <w:pPr>
        <w:tabs>
          <w:tab w:val="num" w:pos="4320"/>
        </w:tabs>
        <w:ind w:left="4320" w:hanging="180"/>
      </w:pPr>
      <w:rPr>
        <w:rFonts w:cs="Times New Roman"/>
      </w:rPr>
    </w:lvl>
    <w:lvl w:ilvl="6" w:tplc="08090001" w:tentative="1">
      <w:start w:val="1"/>
      <w:numFmt w:val="decimal"/>
      <w:lvlText w:val="%7."/>
      <w:lvlJc w:val="left"/>
      <w:pPr>
        <w:tabs>
          <w:tab w:val="num" w:pos="5040"/>
        </w:tabs>
        <w:ind w:left="5040" w:hanging="360"/>
      </w:pPr>
      <w:rPr>
        <w:rFonts w:cs="Times New Roman"/>
      </w:rPr>
    </w:lvl>
    <w:lvl w:ilvl="7" w:tplc="08090003" w:tentative="1">
      <w:start w:val="1"/>
      <w:numFmt w:val="lowerLetter"/>
      <w:lvlText w:val="%8."/>
      <w:lvlJc w:val="left"/>
      <w:pPr>
        <w:tabs>
          <w:tab w:val="num" w:pos="5760"/>
        </w:tabs>
        <w:ind w:left="5760" w:hanging="360"/>
      </w:pPr>
      <w:rPr>
        <w:rFonts w:cs="Times New Roman"/>
      </w:rPr>
    </w:lvl>
    <w:lvl w:ilvl="8" w:tplc="08090005" w:tentative="1">
      <w:start w:val="1"/>
      <w:numFmt w:val="lowerRoman"/>
      <w:lvlText w:val="%9."/>
      <w:lvlJc w:val="right"/>
      <w:pPr>
        <w:tabs>
          <w:tab w:val="num" w:pos="6480"/>
        </w:tabs>
        <w:ind w:left="6480" w:hanging="180"/>
      </w:pPr>
      <w:rPr>
        <w:rFonts w:cs="Times New Roman"/>
      </w:rPr>
    </w:lvl>
  </w:abstractNum>
  <w:abstractNum w:abstractNumId="1" w15:restartNumberingAfterBreak="0">
    <w:nsid w:val="2BFD507C"/>
    <w:multiLevelType w:val="hybridMultilevel"/>
    <w:tmpl w:val="F2EC0E4C"/>
    <w:lvl w:ilvl="0" w:tplc="08090001">
      <w:start w:val="1"/>
      <w:numFmt w:val="bullet"/>
      <w:lvlText w:val=""/>
      <w:lvlJc w:val="left"/>
      <w:pPr>
        <w:tabs>
          <w:tab w:val="num" w:pos="1069"/>
        </w:tabs>
        <w:ind w:left="1069" w:hanging="360"/>
      </w:pPr>
      <w:rPr>
        <w:rFonts w:ascii="Symbol" w:hAnsi="Symbol" w:hint="default"/>
      </w:rPr>
    </w:lvl>
    <w:lvl w:ilvl="1" w:tplc="0809000F">
      <w:start w:val="1"/>
      <w:numFmt w:val="decimal"/>
      <w:lvlText w:val="%2."/>
      <w:lvlJc w:val="left"/>
      <w:pPr>
        <w:tabs>
          <w:tab w:val="num" w:pos="1789"/>
        </w:tabs>
        <w:ind w:left="1789" w:hanging="360"/>
      </w:pPr>
      <w:rPr>
        <w:rFonts w:cs="Times New Roman" w:hint="default"/>
      </w:rPr>
    </w:lvl>
    <w:lvl w:ilvl="2" w:tplc="08090005" w:tentative="1">
      <w:start w:val="1"/>
      <w:numFmt w:val="bullet"/>
      <w:lvlText w:val=""/>
      <w:lvlJc w:val="left"/>
      <w:pPr>
        <w:tabs>
          <w:tab w:val="num" w:pos="2509"/>
        </w:tabs>
        <w:ind w:left="2509" w:hanging="360"/>
      </w:pPr>
      <w:rPr>
        <w:rFonts w:ascii="Wingdings" w:hAnsi="Wingdings" w:hint="default"/>
      </w:rPr>
    </w:lvl>
    <w:lvl w:ilvl="3" w:tplc="08090001" w:tentative="1">
      <w:start w:val="1"/>
      <w:numFmt w:val="bullet"/>
      <w:lvlText w:val=""/>
      <w:lvlJc w:val="left"/>
      <w:pPr>
        <w:tabs>
          <w:tab w:val="num" w:pos="3229"/>
        </w:tabs>
        <w:ind w:left="3229" w:hanging="360"/>
      </w:pPr>
      <w:rPr>
        <w:rFonts w:ascii="Symbol" w:hAnsi="Symbol" w:hint="default"/>
      </w:rPr>
    </w:lvl>
    <w:lvl w:ilvl="4" w:tplc="08090003" w:tentative="1">
      <w:start w:val="1"/>
      <w:numFmt w:val="bullet"/>
      <w:lvlText w:val="o"/>
      <w:lvlJc w:val="left"/>
      <w:pPr>
        <w:tabs>
          <w:tab w:val="num" w:pos="3949"/>
        </w:tabs>
        <w:ind w:left="3949" w:hanging="360"/>
      </w:pPr>
      <w:rPr>
        <w:rFonts w:ascii="Courier New" w:hAnsi="Courier New" w:hint="default"/>
      </w:rPr>
    </w:lvl>
    <w:lvl w:ilvl="5" w:tplc="08090005" w:tentative="1">
      <w:start w:val="1"/>
      <w:numFmt w:val="bullet"/>
      <w:lvlText w:val=""/>
      <w:lvlJc w:val="left"/>
      <w:pPr>
        <w:tabs>
          <w:tab w:val="num" w:pos="4669"/>
        </w:tabs>
        <w:ind w:left="4669" w:hanging="360"/>
      </w:pPr>
      <w:rPr>
        <w:rFonts w:ascii="Wingdings" w:hAnsi="Wingdings" w:hint="default"/>
      </w:rPr>
    </w:lvl>
    <w:lvl w:ilvl="6" w:tplc="08090001" w:tentative="1">
      <w:start w:val="1"/>
      <w:numFmt w:val="bullet"/>
      <w:lvlText w:val=""/>
      <w:lvlJc w:val="left"/>
      <w:pPr>
        <w:tabs>
          <w:tab w:val="num" w:pos="5389"/>
        </w:tabs>
        <w:ind w:left="5389" w:hanging="360"/>
      </w:pPr>
      <w:rPr>
        <w:rFonts w:ascii="Symbol" w:hAnsi="Symbol" w:hint="default"/>
      </w:rPr>
    </w:lvl>
    <w:lvl w:ilvl="7" w:tplc="08090003" w:tentative="1">
      <w:start w:val="1"/>
      <w:numFmt w:val="bullet"/>
      <w:lvlText w:val="o"/>
      <w:lvlJc w:val="left"/>
      <w:pPr>
        <w:tabs>
          <w:tab w:val="num" w:pos="6109"/>
        </w:tabs>
        <w:ind w:left="6109" w:hanging="360"/>
      </w:pPr>
      <w:rPr>
        <w:rFonts w:ascii="Courier New" w:hAnsi="Courier New" w:hint="default"/>
      </w:rPr>
    </w:lvl>
    <w:lvl w:ilvl="8" w:tplc="08090005" w:tentative="1">
      <w:start w:val="1"/>
      <w:numFmt w:val="bullet"/>
      <w:lvlText w:val=""/>
      <w:lvlJc w:val="left"/>
      <w:pPr>
        <w:tabs>
          <w:tab w:val="num" w:pos="6829"/>
        </w:tabs>
        <w:ind w:left="6829" w:hanging="360"/>
      </w:pPr>
      <w:rPr>
        <w:rFonts w:ascii="Wingdings" w:hAnsi="Wingdings" w:hint="default"/>
      </w:rPr>
    </w:lvl>
  </w:abstractNum>
  <w:abstractNum w:abstractNumId="2" w15:restartNumberingAfterBreak="0">
    <w:nsid w:val="5BCD185E"/>
    <w:multiLevelType w:val="hybridMultilevel"/>
    <w:tmpl w:val="1BE21A14"/>
    <w:lvl w:ilvl="0" w:tplc="BA0AA29E">
      <w:start w:val="1"/>
      <w:numFmt w:val="bullet"/>
      <w:lvlText w:val=""/>
      <w:lvlJc w:val="left"/>
      <w:pPr>
        <w:tabs>
          <w:tab w:val="num" w:pos="720"/>
        </w:tabs>
        <w:ind w:left="720" w:hanging="360"/>
      </w:pPr>
      <w:rPr>
        <w:rFonts w:ascii="Symbol" w:hAnsi="Symbol" w:hint="default"/>
        <w:b w:val="0"/>
        <w:i w:val="0"/>
        <w:color w:val="auto"/>
        <w:sz w:val="2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AE909E2"/>
    <w:multiLevelType w:val="hybridMultilevel"/>
    <w:tmpl w:val="BDE0F102"/>
    <w:lvl w:ilvl="0" w:tplc="FBD83AA4">
      <w:start w:val="1"/>
      <w:numFmt w:val="bullet"/>
      <w:lvlText w:val=""/>
      <w:lvlJc w:val="left"/>
      <w:pPr>
        <w:tabs>
          <w:tab w:val="num" w:pos="720"/>
        </w:tabs>
        <w:ind w:left="720" w:hanging="360"/>
      </w:pPr>
      <w:rPr>
        <w:rFonts w:ascii="Symbol" w:hAnsi="Symbol" w:hint="default"/>
      </w:rPr>
    </w:lvl>
    <w:lvl w:ilvl="1" w:tplc="147AFA60" w:tentative="1">
      <w:start w:val="1"/>
      <w:numFmt w:val="bullet"/>
      <w:lvlText w:val="o"/>
      <w:lvlJc w:val="left"/>
      <w:pPr>
        <w:tabs>
          <w:tab w:val="num" w:pos="1440"/>
        </w:tabs>
        <w:ind w:left="1440" w:hanging="360"/>
      </w:pPr>
      <w:rPr>
        <w:rFonts w:ascii="Courier New" w:hAnsi="Courier New" w:hint="default"/>
      </w:rPr>
    </w:lvl>
    <w:lvl w:ilvl="2" w:tplc="9B6AE09C" w:tentative="1">
      <w:start w:val="1"/>
      <w:numFmt w:val="bullet"/>
      <w:lvlText w:val=""/>
      <w:lvlJc w:val="left"/>
      <w:pPr>
        <w:tabs>
          <w:tab w:val="num" w:pos="2160"/>
        </w:tabs>
        <w:ind w:left="2160" w:hanging="360"/>
      </w:pPr>
      <w:rPr>
        <w:rFonts w:ascii="Wingdings" w:hAnsi="Wingdings" w:hint="default"/>
      </w:rPr>
    </w:lvl>
    <w:lvl w:ilvl="3" w:tplc="57C49722" w:tentative="1">
      <w:start w:val="1"/>
      <w:numFmt w:val="bullet"/>
      <w:lvlText w:val=""/>
      <w:lvlJc w:val="left"/>
      <w:pPr>
        <w:tabs>
          <w:tab w:val="num" w:pos="2880"/>
        </w:tabs>
        <w:ind w:left="2880" w:hanging="360"/>
      </w:pPr>
      <w:rPr>
        <w:rFonts w:ascii="Symbol" w:hAnsi="Symbol" w:hint="default"/>
      </w:rPr>
    </w:lvl>
    <w:lvl w:ilvl="4" w:tplc="8E90D664" w:tentative="1">
      <w:start w:val="1"/>
      <w:numFmt w:val="bullet"/>
      <w:lvlText w:val="o"/>
      <w:lvlJc w:val="left"/>
      <w:pPr>
        <w:tabs>
          <w:tab w:val="num" w:pos="3600"/>
        </w:tabs>
        <w:ind w:left="3600" w:hanging="360"/>
      </w:pPr>
      <w:rPr>
        <w:rFonts w:ascii="Courier New" w:hAnsi="Courier New" w:hint="default"/>
      </w:rPr>
    </w:lvl>
    <w:lvl w:ilvl="5" w:tplc="63B0EE10" w:tentative="1">
      <w:start w:val="1"/>
      <w:numFmt w:val="bullet"/>
      <w:lvlText w:val=""/>
      <w:lvlJc w:val="left"/>
      <w:pPr>
        <w:tabs>
          <w:tab w:val="num" w:pos="4320"/>
        </w:tabs>
        <w:ind w:left="4320" w:hanging="360"/>
      </w:pPr>
      <w:rPr>
        <w:rFonts w:ascii="Wingdings" w:hAnsi="Wingdings" w:hint="default"/>
      </w:rPr>
    </w:lvl>
    <w:lvl w:ilvl="6" w:tplc="5A8E705A" w:tentative="1">
      <w:start w:val="1"/>
      <w:numFmt w:val="bullet"/>
      <w:lvlText w:val=""/>
      <w:lvlJc w:val="left"/>
      <w:pPr>
        <w:tabs>
          <w:tab w:val="num" w:pos="5040"/>
        </w:tabs>
        <w:ind w:left="5040" w:hanging="360"/>
      </w:pPr>
      <w:rPr>
        <w:rFonts w:ascii="Symbol" w:hAnsi="Symbol" w:hint="default"/>
      </w:rPr>
    </w:lvl>
    <w:lvl w:ilvl="7" w:tplc="87903332" w:tentative="1">
      <w:start w:val="1"/>
      <w:numFmt w:val="bullet"/>
      <w:lvlText w:val="o"/>
      <w:lvlJc w:val="left"/>
      <w:pPr>
        <w:tabs>
          <w:tab w:val="num" w:pos="5760"/>
        </w:tabs>
        <w:ind w:left="5760" w:hanging="360"/>
      </w:pPr>
      <w:rPr>
        <w:rFonts w:ascii="Courier New" w:hAnsi="Courier New" w:hint="default"/>
      </w:rPr>
    </w:lvl>
    <w:lvl w:ilvl="8" w:tplc="8F344A70" w:tentative="1">
      <w:start w:val="1"/>
      <w:numFmt w:val="bullet"/>
      <w:lvlText w:val=""/>
      <w:lvlJc w:val="left"/>
      <w:pPr>
        <w:tabs>
          <w:tab w:val="num" w:pos="6480"/>
        </w:tabs>
        <w:ind w:left="6480" w:hanging="360"/>
      </w:pPr>
      <w:rPr>
        <w:rFonts w:ascii="Wingdings" w:hAnsi="Wingdings" w:hint="default"/>
      </w:rPr>
    </w:lvl>
  </w:abstractNum>
  <w:num w:numId="1" w16cid:durableId="1984386841">
    <w:abstractNumId w:val="0"/>
  </w:num>
  <w:num w:numId="2" w16cid:durableId="412246026">
    <w:abstractNumId w:val="3"/>
  </w:num>
  <w:num w:numId="3" w16cid:durableId="628359579">
    <w:abstractNumId w:val="2"/>
  </w:num>
  <w:num w:numId="4" w16cid:durableId="15832936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88E"/>
    <w:rsid w:val="000339BC"/>
    <w:rsid w:val="00044B0E"/>
    <w:rsid w:val="00064DFD"/>
    <w:rsid w:val="000B0DF8"/>
    <w:rsid w:val="001563FD"/>
    <w:rsid w:val="002179E6"/>
    <w:rsid w:val="00232493"/>
    <w:rsid w:val="00252CE4"/>
    <w:rsid w:val="002711EE"/>
    <w:rsid w:val="002C3E76"/>
    <w:rsid w:val="00370A20"/>
    <w:rsid w:val="004178B7"/>
    <w:rsid w:val="00565B9D"/>
    <w:rsid w:val="006235C4"/>
    <w:rsid w:val="00652F65"/>
    <w:rsid w:val="00692228"/>
    <w:rsid w:val="006B145C"/>
    <w:rsid w:val="006F7B50"/>
    <w:rsid w:val="00782E4C"/>
    <w:rsid w:val="007B2A94"/>
    <w:rsid w:val="007C2AE4"/>
    <w:rsid w:val="008B4B15"/>
    <w:rsid w:val="008D1181"/>
    <w:rsid w:val="00A705B6"/>
    <w:rsid w:val="00A835E1"/>
    <w:rsid w:val="00A86528"/>
    <w:rsid w:val="00B525B7"/>
    <w:rsid w:val="00B80013"/>
    <w:rsid w:val="00B91A8A"/>
    <w:rsid w:val="00C3053B"/>
    <w:rsid w:val="00C475C2"/>
    <w:rsid w:val="00C567BB"/>
    <w:rsid w:val="00C7288E"/>
    <w:rsid w:val="00C931C8"/>
    <w:rsid w:val="00CC74A6"/>
    <w:rsid w:val="00D07460"/>
    <w:rsid w:val="00D4014C"/>
    <w:rsid w:val="00D60AD3"/>
    <w:rsid w:val="00DF7A91"/>
    <w:rsid w:val="00E06DE6"/>
    <w:rsid w:val="00E179C6"/>
    <w:rsid w:val="00E63BB7"/>
    <w:rsid w:val="00E71AC5"/>
    <w:rsid w:val="00EB7AAE"/>
    <w:rsid w:val="00FB6A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75BEFB25"/>
  <w15:chartTrackingRefBased/>
  <w15:docId w15:val="{33B5599A-6BCD-45E6-95AF-657671D85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7288E"/>
    <w:rPr>
      <w:rFonts w:ascii="Arial" w:hAnsi="Arial"/>
      <w:sz w:val="24"/>
      <w:szCs w:val="24"/>
    </w:rPr>
  </w:style>
  <w:style w:type="paragraph" w:styleId="Heading1">
    <w:name w:val="heading 1"/>
    <w:basedOn w:val="Normal"/>
    <w:next w:val="Normal"/>
    <w:link w:val="Heading1Char"/>
    <w:qFormat/>
    <w:rsid w:val="00E06DE6"/>
    <w:pPr>
      <w:outlineLvl w:val="0"/>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Arial14ptBold">
    <w:name w:val="Style Arial 14 pt Bold"/>
    <w:rsid w:val="00C7288E"/>
    <w:rPr>
      <w:rFonts w:ascii="Arial" w:hAnsi="Arial"/>
      <w:b/>
      <w:sz w:val="28"/>
    </w:rPr>
  </w:style>
  <w:style w:type="paragraph" w:styleId="Footer">
    <w:name w:val="footer"/>
    <w:basedOn w:val="Normal"/>
    <w:link w:val="FooterChar"/>
    <w:rsid w:val="00C7288E"/>
    <w:pPr>
      <w:tabs>
        <w:tab w:val="center" w:pos="4153"/>
        <w:tab w:val="right" w:pos="8306"/>
      </w:tabs>
    </w:pPr>
  </w:style>
  <w:style w:type="character" w:customStyle="1" w:styleId="FooterChar">
    <w:name w:val="Footer Char"/>
    <w:link w:val="Footer"/>
    <w:semiHidden/>
    <w:locked/>
    <w:rsid w:val="00C7288E"/>
    <w:rPr>
      <w:rFonts w:ascii="Arial" w:hAnsi="Arial"/>
      <w:sz w:val="24"/>
      <w:szCs w:val="24"/>
      <w:lang w:val="en-GB" w:eastAsia="en-GB" w:bidi="ar-SA"/>
    </w:rPr>
  </w:style>
  <w:style w:type="paragraph" w:customStyle="1" w:styleId="ParagraphFullOut">
    <w:name w:val="Paragraph Full Out"/>
    <w:basedOn w:val="Normal"/>
    <w:rsid w:val="00C7288E"/>
    <w:pPr>
      <w:spacing w:before="80" w:after="120"/>
    </w:pPr>
  </w:style>
  <w:style w:type="paragraph" w:styleId="Caption">
    <w:name w:val="caption"/>
    <w:basedOn w:val="Normal"/>
    <w:next w:val="Normal"/>
    <w:qFormat/>
    <w:rsid w:val="00C7288E"/>
    <w:pPr>
      <w:spacing w:before="80" w:after="120"/>
    </w:pPr>
    <w:rPr>
      <w:b/>
    </w:rPr>
  </w:style>
  <w:style w:type="paragraph" w:customStyle="1" w:styleId="TableNote">
    <w:name w:val="Table Note"/>
    <w:basedOn w:val="Normal"/>
    <w:rsid w:val="00C7288E"/>
    <w:pPr>
      <w:spacing w:before="80" w:after="120"/>
    </w:pPr>
    <w:rPr>
      <w:i/>
      <w:sz w:val="22"/>
    </w:rPr>
  </w:style>
  <w:style w:type="paragraph" w:styleId="ListParagraph">
    <w:name w:val="List Paragraph"/>
    <w:basedOn w:val="Normal"/>
    <w:qFormat/>
    <w:rsid w:val="00C7288E"/>
    <w:pPr>
      <w:ind w:left="720"/>
    </w:pPr>
  </w:style>
  <w:style w:type="character" w:customStyle="1" w:styleId="Heading1Char">
    <w:name w:val="Heading 1 Char"/>
    <w:basedOn w:val="DefaultParagraphFont"/>
    <w:link w:val="Heading1"/>
    <w:rsid w:val="00E06DE6"/>
    <w:rPr>
      <w:rFonts w:ascii="Arial" w:hAnsi="Arial"/>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8b0648b-5ab6-42a4-848b-5b9669254d2e" xsi:nil="true"/>
    <lcf76f155ced4ddcb4097134ff3c332f xmlns="8aa7b99c-20e0-4946-97d2-76c3ad7478ed">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A904C347F2915478F1D1216DEEB1414" ma:contentTypeVersion="13" ma:contentTypeDescription="Create a new document." ma:contentTypeScope="" ma:versionID="14d08ce393fe1e9af24cc0fe34bf46f4">
  <xsd:schema xmlns:xsd="http://www.w3.org/2001/XMLSchema" xmlns:xs="http://www.w3.org/2001/XMLSchema" xmlns:p="http://schemas.microsoft.com/office/2006/metadata/properties" xmlns:ns2="8aa7b99c-20e0-4946-97d2-76c3ad7478ed" xmlns:ns3="e8b0648b-5ab6-42a4-848b-5b9669254d2e" targetNamespace="http://schemas.microsoft.com/office/2006/metadata/properties" ma:root="true" ma:fieldsID="da491395648cdbc29198c7b00c978c48" ns2:_="" ns3:_="">
    <xsd:import namespace="8aa7b99c-20e0-4946-97d2-76c3ad7478ed"/>
    <xsd:import namespace="e8b0648b-5ab6-42a4-848b-5b9669254d2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a7b99c-20e0-4946-97d2-76c3ad7478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f71bbcc-0e19-47a0-832f-6df17fefd21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8b0648b-5ab6-42a4-848b-5b9669254d2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7c5bd2b-bbd4-4ae2-931b-238964141c94}" ma:internalName="TaxCatchAll" ma:showField="CatchAllData" ma:web="e8b0648b-5ab6-42a4-848b-5b9669254d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B5FF5C-6316-4310-806E-63B34E5AF73B}">
  <ds:schemaRefs>
    <ds:schemaRef ds:uri="http://schemas.microsoft.com/sharepoint/v3/contenttype/forms"/>
  </ds:schemaRefs>
</ds:datastoreItem>
</file>

<file path=customXml/itemProps2.xml><?xml version="1.0" encoding="utf-8"?>
<ds:datastoreItem xmlns:ds="http://schemas.openxmlformats.org/officeDocument/2006/customXml" ds:itemID="{773D5355-B10F-42C9-9E42-E7A444ABD092}">
  <ds:schemaRefs>
    <ds:schemaRef ds:uri="http://schemas.microsoft.com/office/2006/documentManagement/types"/>
    <ds:schemaRef ds:uri="http://schemas.microsoft.com/office/infopath/2007/PartnerControls"/>
    <ds:schemaRef ds:uri="e8b0648b-5ab6-42a4-848b-5b9669254d2e"/>
    <ds:schemaRef ds:uri="http://purl.org/dc/elements/1.1/"/>
    <ds:schemaRef ds:uri="http://schemas.microsoft.com/office/2006/metadata/properties"/>
    <ds:schemaRef ds:uri="8aa7b99c-20e0-4946-97d2-76c3ad7478ed"/>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C9FFD1BD-4466-4249-87B8-C688997A47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a7b99c-20e0-4946-97d2-76c3ad7478ed"/>
    <ds:schemaRef ds:uri="e8b0648b-5ab6-42a4-848b-5b9669254d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976</Words>
  <Characters>5108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Guidance for Mainstream School Sixth Form Top Up Funding – Norfolk County Council 2025/26 Academic Year</vt:lpstr>
    </vt:vector>
  </TitlesOfParts>
  <Company>Norfolk County Council</Company>
  <LinksUpToDate>false</LinksUpToDate>
  <CharactersWithSpaces>6072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for Mainstream School Sixth Form Top Up Funding – Norfolk County Council 2025/26 Academic Year (Appendix 2)</dc:title>
  <dc:subject/>
  <dc:creator>chxsj;sara-jane.sturman@norfolk.gov.uk</dc:creator>
  <cp:keywords/>
  <dc:description>Post 16 High Needs Funding Panel</dc:description>
  <cp:lastModifiedBy>Deborah Harding</cp:lastModifiedBy>
  <cp:revision>5</cp:revision>
  <dcterms:created xsi:type="dcterms:W3CDTF">2025-05-21T10:09:00Z</dcterms:created>
  <dcterms:modified xsi:type="dcterms:W3CDTF">2025-05-21T10:39:00Z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0x0101006A904C347F2915478F1D1216DEEB1414</vt:lpwstr>
  </property>
  <property fmtid="{D5CDD505-2E9C-101B-9397-08002B2CF9AE}" pid="3" name="MediaServiceImageTags">
    <vt:lpwstr/>
  </property>
</Properties>
</file>