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A623" w14:textId="64AB4D36" w:rsidR="00550B84" w:rsidRDefault="002E6064" w:rsidP="00550B84">
      <w:pPr>
        <w:rPr>
          <w:rFonts w:ascii="Arial" w:eastAsia="Times New Roman" w:hAnsi="Arial" w:cs="Arial"/>
          <w:b/>
          <w:bCs/>
          <w:color w:val="1A5632"/>
          <w:sz w:val="40"/>
          <w:szCs w:val="40"/>
          <w:lang w:eastAsia="en-GB"/>
        </w:rPr>
      </w:pPr>
      <w:r>
        <w:rPr>
          <w:noProof/>
        </w:rPr>
        <w:drawing>
          <wp:anchor distT="0" distB="0" distL="114300" distR="114300" simplePos="0" relativeHeight="251661312" behindDoc="0" locked="0" layoutInCell="1" allowOverlap="1" wp14:anchorId="2BC3C750" wp14:editId="3A3E0E7A">
            <wp:simplePos x="0" y="0"/>
            <wp:positionH relativeFrom="page">
              <wp:posOffset>7813675</wp:posOffset>
            </wp:positionH>
            <wp:positionV relativeFrom="paragraph">
              <wp:posOffset>-629929</wp:posOffset>
            </wp:positionV>
            <wp:extent cx="2438400" cy="1058454"/>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0">
                      <a:extLst>
                        <a:ext uri="{28A0092B-C50C-407E-A947-70E740481C1C}">
                          <a14:useLocalDpi xmlns:a14="http://schemas.microsoft.com/office/drawing/2010/main" val="0"/>
                        </a:ext>
                      </a:extLst>
                    </a:blip>
                    <a:srcRect t="-16498" r="-23077"/>
                    <a:stretch/>
                  </pic:blipFill>
                  <pic:spPr bwMode="auto">
                    <a:xfrm>
                      <a:off x="0" y="0"/>
                      <a:ext cx="2438400" cy="10584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050505"/>
          <w:sz w:val="24"/>
          <w:szCs w:val="24"/>
          <w:shd w:val="clear" w:color="auto" w:fill="FFFFFF"/>
        </w:rPr>
        <w:drawing>
          <wp:anchor distT="0" distB="0" distL="114300" distR="114300" simplePos="0" relativeHeight="251659264" behindDoc="0" locked="0" layoutInCell="1" allowOverlap="1" wp14:anchorId="7F40DD1B" wp14:editId="464EE65F">
            <wp:simplePos x="0" y="0"/>
            <wp:positionH relativeFrom="page">
              <wp:posOffset>119252</wp:posOffset>
            </wp:positionH>
            <wp:positionV relativeFrom="paragraph">
              <wp:posOffset>-875596</wp:posOffset>
            </wp:positionV>
            <wp:extent cx="4652237" cy="1421765"/>
            <wp:effectExtent l="0" t="0" r="0"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0581" t="13517" r="-1221" b="38146"/>
                    <a:stretch/>
                  </pic:blipFill>
                  <pic:spPr bwMode="auto">
                    <a:xfrm>
                      <a:off x="0" y="0"/>
                      <a:ext cx="4652237" cy="1421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18F0A4" w14:textId="58770B28" w:rsidR="00550B84" w:rsidRDefault="00550B84" w:rsidP="00550B84">
      <w:pPr>
        <w:rPr>
          <w:rFonts w:ascii="Arial" w:eastAsia="Times New Roman" w:hAnsi="Arial" w:cs="Arial"/>
          <w:b/>
          <w:bCs/>
          <w:color w:val="1A5632"/>
          <w:sz w:val="40"/>
          <w:szCs w:val="40"/>
          <w:lang w:eastAsia="en-GB"/>
        </w:rPr>
      </w:pPr>
    </w:p>
    <w:p w14:paraId="0BF4367E" w14:textId="20905189" w:rsidR="00550B84" w:rsidRPr="002E6064" w:rsidRDefault="00381C64" w:rsidP="00550B84">
      <w:pPr>
        <w:rPr>
          <w:rFonts w:ascii="Arial" w:eastAsia="Times New Roman" w:hAnsi="Arial" w:cs="Arial"/>
          <w:b/>
          <w:bCs/>
          <w:color w:val="4A7628"/>
          <w:sz w:val="40"/>
          <w:szCs w:val="40"/>
          <w:lang w:eastAsia="en-GB"/>
        </w:rPr>
      </w:pPr>
      <w:r w:rsidRPr="002E6064">
        <w:rPr>
          <w:rFonts w:ascii="Arial" w:eastAsia="Times New Roman" w:hAnsi="Arial" w:cs="Arial"/>
          <w:b/>
          <w:bCs/>
          <w:color w:val="4A7628"/>
          <w:sz w:val="40"/>
          <w:szCs w:val="40"/>
          <w:lang w:eastAsia="en-GB"/>
        </w:rPr>
        <w:t xml:space="preserve">RSHE </w:t>
      </w:r>
      <w:r w:rsidR="00550B84" w:rsidRPr="002E6064">
        <w:rPr>
          <w:rFonts w:ascii="Arial" w:eastAsia="Times New Roman" w:hAnsi="Arial" w:cs="Arial"/>
          <w:b/>
          <w:bCs/>
          <w:color w:val="4A7628"/>
          <w:sz w:val="40"/>
          <w:szCs w:val="40"/>
          <w:lang w:eastAsia="en-GB"/>
        </w:rPr>
        <w:t>Customisable learning walk- based on the PSHE Association’s Ten Principles of PSHE Education</w:t>
      </w:r>
    </w:p>
    <w:tbl>
      <w:tblPr>
        <w:tblStyle w:val="TableGrid"/>
        <w:tblW w:w="13949" w:type="dxa"/>
        <w:tblLook w:val="04A0" w:firstRow="1" w:lastRow="0" w:firstColumn="1" w:lastColumn="0" w:noHBand="0" w:noVBand="1"/>
      </w:tblPr>
      <w:tblGrid>
        <w:gridCol w:w="4075"/>
        <w:gridCol w:w="3801"/>
        <w:gridCol w:w="3801"/>
        <w:gridCol w:w="2272"/>
      </w:tblGrid>
      <w:tr w:rsidR="006322F7" w:rsidRPr="00550B84" w14:paraId="6E0AFF5B" w14:textId="77777777" w:rsidTr="00550B84">
        <w:tc>
          <w:tcPr>
            <w:tcW w:w="4075" w:type="dxa"/>
            <w:shd w:val="clear" w:color="auto" w:fill="BFBFBF" w:themeFill="background1" w:themeFillShade="BF"/>
          </w:tcPr>
          <w:p w14:paraId="26ECF3C1" w14:textId="42796130" w:rsidR="006322F7" w:rsidRPr="00550B84" w:rsidRDefault="006322F7" w:rsidP="00550B84">
            <w:pPr>
              <w:rPr>
                <w:rFonts w:ascii="Arial" w:hAnsi="Arial" w:cs="Arial"/>
                <w:b/>
                <w:bCs/>
                <w:sz w:val="24"/>
                <w:szCs w:val="24"/>
              </w:rPr>
            </w:pPr>
            <w:r w:rsidRPr="00550B84">
              <w:rPr>
                <w:rStyle w:val="normaltextrun"/>
                <w:rFonts w:ascii="Arial" w:hAnsi="Arial" w:cs="Arial"/>
                <w:b/>
                <w:bCs/>
                <w:color w:val="000000"/>
                <w:sz w:val="24"/>
                <w:szCs w:val="24"/>
                <w:bdr w:val="none" w:sz="0" w:space="0" w:color="auto" w:frame="1"/>
              </w:rPr>
              <w:t>Principles of good RSHE</w:t>
            </w:r>
          </w:p>
        </w:tc>
        <w:tc>
          <w:tcPr>
            <w:tcW w:w="3801" w:type="dxa"/>
            <w:shd w:val="clear" w:color="auto" w:fill="BFBFBF" w:themeFill="background1" w:themeFillShade="BF"/>
          </w:tcPr>
          <w:p w14:paraId="6B500DB3" w14:textId="30CE006B" w:rsidR="006322F7" w:rsidRPr="00550B84" w:rsidRDefault="2AD8A8EF" w:rsidP="00550B84">
            <w:pPr>
              <w:spacing w:line="259" w:lineRule="auto"/>
              <w:rPr>
                <w:rFonts w:ascii="Arial" w:hAnsi="Arial" w:cs="Arial"/>
                <w:b/>
                <w:bCs/>
                <w:sz w:val="24"/>
                <w:szCs w:val="24"/>
              </w:rPr>
            </w:pPr>
            <w:r w:rsidRPr="00550B84">
              <w:rPr>
                <w:rFonts w:ascii="Arial" w:hAnsi="Arial" w:cs="Arial"/>
                <w:b/>
                <w:bCs/>
                <w:sz w:val="24"/>
                <w:szCs w:val="24"/>
              </w:rPr>
              <w:t>What to look for</w:t>
            </w:r>
            <w:r w:rsidR="00091255" w:rsidRPr="00550B84">
              <w:rPr>
                <w:rFonts w:ascii="Arial" w:hAnsi="Arial" w:cs="Arial"/>
                <w:b/>
                <w:bCs/>
                <w:sz w:val="24"/>
                <w:szCs w:val="24"/>
              </w:rPr>
              <w:t xml:space="preserve"> (suggested)</w:t>
            </w:r>
          </w:p>
        </w:tc>
        <w:tc>
          <w:tcPr>
            <w:tcW w:w="3801" w:type="dxa"/>
            <w:shd w:val="clear" w:color="auto" w:fill="BFBFBF" w:themeFill="background1" w:themeFillShade="BF"/>
          </w:tcPr>
          <w:p w14:paraId="537A2277" w14:textId="00F85BF7" w:rsidR="2AD8A8EF" w:rsidRPr="00550B84" w:rsidRDefault="2AD8A8EF" w:rsidP="00550B84">
            <w:pPr>
              <w:spacing w:line="259" w:lineRule="auto"/>
              <w:rPr>
                <w:rFonts w:ascii="Arial" w:hAnsi="Arial" w:cs="Arial"/>
                <w:b/>
                <w:bCs/>
                <w:sz w:val="24"/>
                <w:szCs w:val="24"/>
              </w:rPr>
            </w:pPr>
            <w:r w:rsidRPr="00550B84">
              <w:rPr>
                <w:rFonts w:ascii="Arial" w:hAnsi="Arial" w:cs="Arial"/>
                <w:b/>
                <w:bCs/>
                <w:sz w:val="24"/>
                <w:szCs w:val="24"/>
              </w:rPr>
              <w:t>Evidence</w:t>
            </w:r>
          </w:p>
        </w:tc>
        <w:tc>
          <w:tcPr>
            <w:tcW w:w="2272" w:type="dxa"/>
            <w:shd w:val="clear" w:color="auto" w:fill="BFBFBF" w:themeFill="background1" w:themeFillShade="BF"/>
          </w:tcPr>
          <w:p w14:paraId="792A7D04" w14:textId="38740CDD" w:rsidR="006322F7" w:rsidRPr="00550B84" w:rsidRDefault="006322F7" w:rsidP="00550B84">
            <w:pPr>
              <w:rPr>
                <w:rFonts w:ascii="Arial" w:hAnsi="Arial" w:cs="Arial"/>
                <w:b/>
                <w:bCs/>
                <w:sz w:val="24"/>
                <w:szCs w:val="24"/>
              </w:rPr>
            </w:pPr>
            <w:r w:rsidRPr="00550B84">
              <w:rPr>
                <w:rFonts w:ascii="Arial" w:hAnsi="Arial" w:cs="Arial"/>
                <w:b/>
                <w:bCs/>
                <w:sz w:val="24"/>
                <w:szCs w:val="24"/>
              </w:rPr>
              <w:t>Ideas for development</w:t>
            </w:r>
          </w:p>
        </w:tc>
      </w:tr>
      <w:tr w:rsidR="006322F7" w:rsidRPr="00550B84" w14:paraId="5D909A97" w14:textId="3BDAD053" w:rsidTr="00550B84">
        <w:tc>
          <w:tcPr>
            <w:tcW w:w="4075" w:type="dxa"/>
          </w:tcPr>
          <w:p w14:paraId="08451704" w14:textId="64BB8200" w:rsidR="006322F7" w:rsidRPr="00550B84" w:rsidRDefault="00E61149" w:rsidP="00550B84">
            <w:pPr>
              <w:rPr>
                <w:rFonts w:ascii="Arial" w:hAnsi="Arial" w:cs="Arial"/>
                <w:sz w:val="24"/>
                <w:szCs w:val="24"/>
              </w:rPr>
            </w:pPr>
            <w:r w:rsidRPr="00550B84">
              <w:rPr>
                <w:rFonts w:ascii="Arial" w:hAnsi="Arial" w:cs="Arial"/>
                <w:sz w:val="24"/>
                <w:szCs w:val="24"/>
              </w:rPr>
              <w:t>Start where children and young people are finding out what they already know, understand, can do, and can say. For maximum impact involve them in the planning of your RSHE education programme.</w:t>
            </w:r>
          </w:p>
        </w:tc>
        <w:tc>
          <w:tcPr>
            <w:tcW w:w="3801" w:type="dxa"/>
          </w:tcPr>
          <w:p w14:paraId="547370CD" w14:textId="4FE82C5A" w:rsidR="006322F7" w:rsidRPr="00550B84" w:rsidRDefault="2AD8A8EF" w:rsidP="00550B84">
            <w:pPr>
              <w:rPr>
                <w:rFonts w:ascii="Arial" w:hAnsi="Arial" w:cs="Arial"/>
                <w:sz w:val="24"/>
                <w:szCs w:val="24"/>
              </w:rPr>
            </w:pPr>
            <w:r w:rsidRPr="00550B84">
              <w:rPr>
                <w:rFonts w:ascii="Arial" w:hAnsi="Arial" w:cs="Arial"/>
                <w:sz w:val="24"/>
                <w:szCs w:val="24"/>
              </w:rPr>
              <w:t>Pupil voice activities including surveys as appropriate, are included in planning. Children and young people can talk confidently about RSHE</w:t>
            </w:r>
            <w:r w:rsidR="00091255" w:rsidRPr="00550B84">
              <w:rPr>
                <w:rFonts w:ascii="Arial" w:hAnsi="Arial" w:cs="Arial"/>
                <w:sz w:val="24"/>
                <w:szCs w:val="24"/>
              </w:rPr>
              <w:t xml:space="preserve"> ideally referencing health, happiness and safety</w:t>
            </w:r>
            <w:r w:rsidRPr="00550B84">
              <w:rPr>
                <w:rFonts w:ascii="Arial" w:hAnsi="Arial" w:cs="Arial"/>
                <w:sz w:val="24"/>
                <w:szCs w:val="24"/>
              </w:rPr>
              <w:t xml:space="preserve">. </w:t>
            </w:r>
          </w:p>
        </w:tc>
        <w:tc>
          <w:tcPr>
            <w:tcW w:w="3801" w:type="dxa"/>
          </w:tcPr>
          <w:p w14:paraId="41A8DD3A" w14:textId="185BAB85" w:rsidR="2AD8A8EF" w:rsidRPr="00550B84" w:rsidRDefault="2AD8A8EF" w:rsidP="00550B84">
            <w:pPr>
              <w:rPr>
                <w:rFonts w:ascii="Arial" w:hAnsi="Arial" w:cs="Arial"/>
                <w:sz w:val="24"/>
                <w:szCs w:val="24"/>
              </w:rPr>
            </w:pPr>
          </w:p>
        </w:tc>
        <w:tc>
          <w:tcPr>
            <w:tcW w:w="2272" w:type="dxa"/>
          </w:tcPr>
          <w:p w14:paraId="5476DC17" w14:textId="77777777" w:rsidR="006322F7" w:rsidRPr="00550B84" w:rsidRDefault="006322F7" w:rsidP="00550B84">
            <w:pPr>
              <w:rPr>
                <w:rFonts w:ascii="Arial" w:hAnsi="Arial" w:cs="Arial"/>
                <w:sz w:val="24"/>
                <w:szCs w:val="24"/>
              </w:rPr>
            </w:pPr>
          </w:p>
        </w:tc>
      </w:tr>
      <w:tr w:rsidR="006322F7" w:rsidRPr="00550B84" w14:paraId="5BFF7C34" w14:textId="6EE63352" w:rsidTr="00550B84">
        <w:tc>
          <w:tcPr>
            <w:tcW w:w="4075" w:type="dxa"/>
          </w:tcPr>
          <w:p w14:paraId="0F877E28" w14:textId="7B155AFA" w:rsidR="006322F7" w:rsidRPr="00550B84" w:rsidRDefault="00E61149" w:rsidP="00550B84">
            <w:pPr>
              <w:rPr>
                <w:rFonts w:ascii="Arial" w:hAnsi="Arial" w:cs="Arial"/>
                <w:sz w:val="24"/>
                <w:szCs w:val="24"/>
              </w:rPr>
            </w:pPr>
            <w:r w:rsidRPr="00550B84">
              <w:rPr>
                <w:rFonts w:ascii="Arial" w:hAnsi="Arial" w:cs="Arial"/>
                <w:sz w:val="24"/>
                <w:szCs w:val="24"/>
              </w:rPr>
              <w:t>Plan a ‘spiral programme’ which introduces new and more challenging learning, while building on what has gone before, which reflects and meets the personal developmental needs of the children and young people.</w:t>
            </w:r>
          </w:p>
        </w:tc>
        <w:tc>
          <w:tcPr>
            <w:tcW w:w="3801" w:type="dxa"/>
          </w:tcPr>
          <w:p w14:paraId="0947F01C" w14:textId="5BF3FE2E" w:rsidR="006322F7" w:rsidRPr="00550B84" w:rsidRDefault="2AD8A8EF" w:rsidP="00550B84">
            <w:pPr>
              <w:rPr>
                <w:rFonts w:ascii="Arial" w:hAnsi="Arial" w:cs="Arial"/>
                <w:sz w:val="24"/>
                <w:szCs w:val="24"/>
              </w:rPr>
            </w:pPr>
            <w:r w:rsidRPr="00550B84">
              <w:rPr>
                <w:rFonts w:ascii="Arial" w:hAnsi="Arial" w:cs="Arial"/>
                <w:sz w:val="24"/>
                <w:szCs w:val="24"/>
              </w:rPr>
              <w:t>Insight collected from a variety of sources, pupils, families, health data</w:t>
            </w:r>
            <w:r w:rsidR="00091255" w:rsidRPr="00550B84">
              <w:rPr>
                <w:rFonts w:ascii="Arial" w:hAnsi="Arial" w:cs="Arial"/>
                <w:sz w:val="24"/>
                <w:szCs w:val="24"/>
              </w:rPr>
              <w:t xml:space="preserve"> and how this has shaped curriculum intent.  </w:t>
            </w:r>
            <w:r w:rsidRPr="00550B84">
              <w:rPr>
                <w:rFonts w:ascii="Arial" w:hAnsi="Arial" w:cs="Arial"/>
                <w:sz w:val="24"/>
                <w:szCs w:val="24"/>
              </w:rPr>
              <w:t xml:space="preserve">Long term and medium-term planning linked to previous </w:t>
            </w:r>
            <w:r w:rsidR="00091255" w:rsidRPr="00550B84">
              <w:rPr>
                <w:rFonts w:ascii="Arial" w:hAnsi="Arial" w:cs="Arial"/>
                <w:sz w:val="24"/>
                <w:szCs w:val="24"/>
              </w:rPr>
              <w:t>learning,</w:t>
            </w:r>
            <w:r w:rsidRPr="00550B84">
              <w:rPr>
                <w:rFonts w:ascii="Arial" w:hAnsi="Arial" w:cs="Arial"/>
                <w:sz w:val="24"/>
                <w:szCs w:val="24"/>
              </w:rPr>
              <w:t xml:space="preserve"> and which includes next steps.</w:t>
            </w:r>
          </w:p>
        </w:tc>
        <w:tc>
          <w:tcPr>
            <w:tcW w:w="3801" w:type="dxa"/>
          </w:tcPr>
          <w:p w14:paraId="3FBEDE96" w14:textId="2FE7CCFB" w:rsidR="2AD8A8EF" w:rsidRPr="00550B84" w:rsidRDefault="2AD8A8EF" w:rsidP="00550B84">
            <w:pPr>
              <w:rPr>
                <w:rFonts w:ascii="Arial" w:hAnsi="Arial" w:cs="Arial"/>
                <w:sz w:val="24"/>
                <w:szCs w:val="24"/>
              </w:rPr>
            </w:pPr>
          </w:p>
        </w:tc>
        <w:tc>
          <w:tcPr>
            <w:tcW w:w="2272" w:type="dxa"/>
          </w:tcPr>
          <w:p w14:paraId="104BD03F" w14:textId="0CDF6754" w:rsidR="006322F7" w:rsidRPr="00550B84" w:rsidRDefault="006322F7" w:rsidP="00550B84">
            <w:pPr>
              <w:rPr>
                <w:rFonts w:ascii="Arial" w:hAnsi="Arial" w:cs="Arial"/>
                <w:sz w:val="24"/>
                <w:szCs w:val="24"/>
              </w:rPr>
            </w:pPr>
          </w:p>
        </w:tc>
      </w:tr>
      <w:tr w:rsidR="006322F7" w:rsidRPr="00550B84" w14:paraId="5FE86A52" w14:textId="4780B350" w:rsidTr="00550B84">
        <w:tc>
          <w:tcPr>
            <w:tcW w:w="4075" w:type="dxa"/>
          </w:tcPr>
          <w:p w14:paraId="734CAF27" w14:textId="7D5024D3" w:rsidR="006322F7" w:rsidRPr="00550B84" w:rsidRDefault="00E61149" w:rsidP="00550B84">
            <w:pPr>
              <w:rPr>
                <w:rFonts w:ascii="Arial" w:hAnsi="Arial" w:cs="Arial"/>
                <w:sz w:val="24"/>
                <w:szCs w:val="24"/>
              </w:rPr>
            </w:pPr>
            <w:r w:rsidRPr="00550B84">
              <w:rPr>
                <w:rFonts w:ascii="Arial" w:hAnsi="Arial" w:cs="Arial"/>
                <w:sz w:val="24"/>
                <w:szCs w:val="24"/>
              </w:rPr>
              <w:t>Take a positive approach which does not attempt to induce shock or guilt but focuses on what children and young people can do to keep themselves and others healthy and safe and to lead happy and fulfilling lives.</w:t>
            </w:r>
          </w:p>
        </w:tc>
        <w:tc>
          <w:tcPr>
            <w:tcW w:w="3801" w:type="dxa"/>
          </w:tcPr>
          <w:p w14:paraId="68990B79" w14:textId="512EDB43" w:rsidR="006322F7" w:rsidRPr="00550B84" w:rsidRDefault="2AD8A8EF" w:rsidP="00550B84">
            <w:pPr>
              <w:rPr>
                <w:rFonts w:ascii="Arial" w:hAnsi="Arial" w:cs="Arial"/>
                <w:sz w:val="24"/>
                <w:szCs w:val="24"/>
              </w:rPr>
            </w:pPr>
            <w:r w:rsidRPr="00550B84">
              <w:rPr>
                <w:rFonts w:ascii="Arial" w:hAnsi="Arial" w:cs="Arial"/>
                <w:sz w:val="24"/>
                <w:szCs w:val="24"/>
              </w:rPr>
              <w:t xml:space="preserve">Sex education is positioned within RHE, and the design of the curriculum demonstrates how subjects such as sexual intercourse, FGM or sharing sexual images have had the foundations laid. Pupils are </w:t>
            </w:r>
            <w:r w:rsidRPr="00550B84">
              <w:rPr>
                <w:rFonts w:ascii="Arial" w:hAnsi="Arial" w:cs="Arial"/>
                <w:sz w:val="24"/>
                <w:szCs w:val="24"/>
              </w:rPr>
              <w:lastRenderedPageBreak/>
              <w:t>signposted to information, advice, and guidance both in school and outside</w:t>
            </w:r>
            <w:r w:rsidR="00091255" w:rsidRPr="00550B84">
              <w:rPr>
                <w:rFonts w:ascii="Arial" w:hAnsi="Arial" w:cs="Arial"/>
                <w:sz w:val="24"/>
                <w:szCs w:val="24"/>
              </w:rPr>
              <w:t>.</w:t>
            </w:r>
          </w:p>
        </w:tc>
        <w:tc>
          <w:tcPr>
            <w:tcW w:w="3801" w:type="dxa"/>
          </w:tcPr>
          <w:p w14:paraId="33D05A55" w14:textId="2E386757" w:rsidR="2AD8A8EF" w:rsidRPr="00550B84" w:rsidRDefault="2AD8A8EF" w:rsidP="00550B84">
            <w:pPr>
              <w:rPr>
                <w:rFonts w:ascii="Arial" w:hAnsi="Arial" w:cs="Arial"/>
                <w:sz w:val="24"/>
                <w:szCs w:val="24"/>
              </w:rPr>
            </w:pPr>
          </w:p>
        </w:tc>
        <w:tc>
          <w:tcPr>
            <w:tcW w:w="2272" w:type="dxa"/>
          </w:tcPr>
          <w:p w14:paraId="2F6BE745" w14:textId="77777777" w:rsidR="006322F7" w:rsidRPr="00550B84" w:rsidRDefault="006322F7" w:rsidP="00550B84">
            <w:pPr>
              <w:rPr>
                <w:rFonts w:ascii="Arial" w:hAnsi="Arial" w:cs="Arial"/>
                <w:sz w:val="24"/>
                <w:szCs w:val="24"/>
              </w:rPr>
            </w:pPr>
          </w:p>
        </w:tc>
      </w:tr>
      <w:tr w:rsidR="006322F7" w:rsidRPr="00550B84" w14:paraId="29A012DE" w14:textId="5994086C" w:rsidTr="00550B84">
        <w:tc>
          <w:tcPr>
            <w:tcW w:w="4075" w:type="dxa"/>
          </w:tcPr>
          <w:p w14:paraId="7243AF11" w14:textId="6D559AB5" w:rsidR="006322F7" w:rsidRPr="00550B84" w:rsidRDefault="00E61149" w:rsidP="00550B84">
            <w:pPr>
              <w:rPr>
                <w:rFonts w:ascii="Arial" w:hAnsi="Arial" w:cs="Arial"/>
                <w:sz w:val="24"/>
                <w:szCs w:val="24"/>
              </w:rPr>
            </w:pPr>
            <w:r w:rsidRPr="00550B84">
              <w:rPr>
                <w:rFonts w:ascii="Arial" w:hAnsi="Arial" w:cs="Arial"/>
                <w:sz w:val="24"/>
                <w:szCs w:val="24"/>
              </w:rPr>
              <w:t>Offer a wide variety of teaching and learning styles within RSHE, with an emphasis on interactive learning and the teacher as facilitator.</w:t>
            </w:r>
          </w:p>
        </w:tc>
        <w:tc>
          <w:tcPr>
            <w:tcW w:w="3801" w:type="dxa"/>
          </w:tcPr>
          <w:p w14:paraId="6552839A" w14:textId="762D4E69" w:rsidR="006322F7" w:rsidRPr="00550B84" w:rsidRDefault="2AD8A8EF" w:rsidP="00550B84">
            <w:pPr>
              <w:rPr>
                <w:rFonts w:ascii="Arial" w:hAnsi="Arial" w:cs="Arial"/>
                <w:sz w:val="24"/>
                <w:szCs w:val="24"/>
              </w:rPr>
            </w:pPr>
            <w:r w:rsidRPr="00550B84">
              <w:rPr>
                <w:rFonts w:ascii="Arial" w:hAnsi="Arial" w:cs="Arial"/>
                <w:sz w:val="24"/>
                <w:szCs w:val="24"/>
              </w:rPr>
              <w:t xml:space="preserve">Lessons are appropriately varied and include role play, games, modelling, songs, collaborative work </w:t>
            </w:r>
            <w:r w:rsidR="00091255" w:rsidRPr="00550B84">
              <w:rPr>
                <w:rFonts w:ascii="Arial" w:hAnsi="Arial" w:cs="Arial"/>
                <w:sz w:val="24"/>
                <w:szCs w:val="24"/>
              </w:rPr>
              <w:t>and pupils are encouraged to be curious and enquire.</w:t>
            </w:r>
          </w:p>
        </w:tc>
        <w:tc>
          <w:tcPr>
            <w:tcW w:w="3801" w:type="dxa"/>
          </w:tcPr>
          <w:p w14:paraId="38BDEDBD" w14:textId="01F096E3" w:rsidR="2AD8A8EF" w:rsidRPr="00550B84" w:rsidRDefault="2AD8A8EF" w:rsidP="00550B84">
            <w:pPr>
              <w:rPr>
                <w:rFonts w:ascii="Arial" w:hAnsi="Arial" w:cs="Arial"/>
                <w:sz w:val="24"/>
                <w:szCs w:val="24"/>
              </w:rPr>
            </w:pPr>
          </w:p>
        </w:tc>
        <w:tc>
          <w:tcPr>
            <w:tcW w:w="2272" w:type="dxa"/>
          </w:tcPr>
          <w:p w14:paraId="1F140695" w14:textId="77777777" w:rsidR="006322F7" w:rsidRPr="00550B84" w:rsidRDefault="006322F7" w:rsidP="00550B84">
            <w:pPr>
              <w:rPr>
                <w:rFonts w:ascii="Arial" w:hAnsi="Arial" w:cs="Arial"/>
                <w:sz w:val="24"/>
                <w:szCs w:val="24"/>
              </w:rPr>
            </w:pPr>
          </w:p>
        </w:tc>
      </w:tr>
      <w:tr w:rsidR="006322F7" w:rsidRPr="00550B84" w14:paraId="1A27B94C" w14:textId="5E4D3275" w:rsidTr="00550B84">
        <w:tc>
          <w:tcPr>
            <w:tcW w:w="4075" w:type="dxa"/>
          </w:tcPr>
          <w:p w14:paraId="7D009381" w14:textId="4935BC20" w:rsidR="006322F7" w:rsidRPr="00550B84" w:rsidRDefault="00E61149" w:rsidP="00550B84">
            <w:pPr>
              <w:rPr>
                <w:rFonts w:ascii="Arial" w:hAnsi="Arial" w:cs="Arial"/>
                <w:sz w:val="24"/>
                <w:szCs w:val="24"/>
              </w:rPr>
            </w:pPr>
            <w:r w:rsidRPr="00550B84">
              <w:rPr>
                <w:rFonts w:ascii="Arial" w:hAnsi="Arial" w:cs="Arial"/>
                <w:sz w:val="24"/>
                <w:szCs w:val="24"/>
              </w:rPr>
              <w:t xml:space="preserve">Provide information which is realistic and </w:t>
            </w:r>
            <w:r w:rsidR="00117FC6" w:rsidRPr="00550B84">
              <w:rPr>
                <w:rFonts w:ascii="Arial" w:hAnsi="Arial" w:cs="Arial"/>
                <w:sz w:val="24"/>
                <w:szCs w:val="24"/>
              </w:rPr>
              <w:t>relevant,</w:t>
            </w:r>
            <w:r w:rsidRPr="00550B84">
              <w:rPr>
                <w:rFonts w:ascii="Arial" w:hAnsi="Arial" w:cs="Arial"/>
                <w:sz w:val="24"/>
                <w:szCs w:val="24"/>
              </w:rPr>
              <w:t xml:space="preserve"> and which reinforces positive social norms.</w:t>
            </w:r>
          </w:p>
        </w:tc>
        <w:tc>
          <w:tcPr>
            <w:tcW w:w="3801" w:type="dxa"/>
          </w:tcPr>
          <w:p w14:paraId="03AC1043" w14:textId="462BC04E" w:rsidR="006322F7" w:rsidRPr="00550B84" w:rsidRDefault="2AD8A8EF" w:rsidP="00550B84">
            <w:pPr>
              <w:rPr>
                <w:rFonts w:ascii="Arial" w:hAnsi="Arial" w:cs="Arial"/>
                <w:sz w:val="24"/>
                <w:szCs w:val="24"/>
              </w:rPr>
            </w:pPr>
            <w:r w:rsidRPr="00550B84">
              <w:rPr>
                <w:rFonts w:ascii="Arial" w:hAnsi="Arial" w:cs="Arial"/>
                <w:sz w:val="24"/>
                <w:szCs w:val="24"/>
              </w:rPr>
              <w:t>Resources are assessed against the provided checklist; pupils are involved, and staff are alive to misinformation and bias in resource</w:t>
            </w:r>
            <w:r w:rsidR="009511EF" w:rsidRPr="00550B84">
              <w:rPr>
                <w:rFonts w:ascii="Arial" w:hAnsi="Arial" w:cs="Arial"/>
                <w:sz w:val="24"/>
                <w:szCs w:val="24"/>
              </w:rPr>
              <w:t>s; within RSHE and the wider curriculum.</w:t>
            </w:r>
          </w:p>
        </w:tc>
        <w:tc>
          <w:tcPr>
            <w:tcW w:w="3801" w:type="dxa"/>
          </w:tcPr>
          <w:p w14:paraId="125A15CC" w14:textId="6030610F" w:rsidR="2AD8A8EF" w:rsidRPr="00550B84" w:rsidRDefault="2AD8A8EF" w:rsidP="00550B84">
            <w:pPr>
              <w:rPr>
                <w:rFonts w:ascii="Arial" w:hAnsi="Arial" w:cs="Arial"/>
                <w:sz w:val="24"/>
                <w:szCs w:val="24"/>
              </w:rPr>
            </w:pPr>
          </w:p>
        </w:tc>
        <w:tc>
          <w:tcPr>
            <w:tcW w:w="2272" w:type="dxa"/>
          </w:tcPr>
          <w:p w14:paraId="52959269" w14:textId="77777777" w:rsidR="006322F7" w:rsidRPr="00550B84" w:rsidRDefault="006322F7" w:rsidP="00550B84">
            <w:pPr>
              <w:rPr>
                <w:rFonts w:ascii="Arial" w:hAnsi="Arial" w:cs="Arial"/>
                <w:sz w:val="24"/>
                <w:szCs w:val="24"/>
              </w:rPr>
            </w:pPr>
          </w:p>
        </w:tc>
      </w:tr>
      <w:tr w:rsidR="006322F7" w:rsidRPr="00550B84" w14:paraId="6A673502" w14:textId="4F1EB32A" w:rsidTr="00550B84">
        <w:trPr>
          <w:trHeight w:val="1305"/>
        </w:trPr>
        <w:tc>
          <w:tcPr>
            <w:tcW w:w="4075" w:type="dxa"/>
          </w:tcPr>
          <w:p w14:paraId="00FC4EC9" w14:textId="6660AEE8" w:rsidR="006322F7" w:rsidRPr="00550B84" w:rsidRDefault="00E61149" w:rsidP="00550B84">
            <w:pPr>
              <w:rPr>
                <w:rFonts w:ascii="Arial" w:hAnsi="Arial" w:cs="Arial"/>
                <w:sz w:val="24"/>
                <w:szCs w:val="24"/>
              </w:rPr>
            </w:pPr>
            <w:r w:rsidRPr="00550B84">
              <w:rPr>
                <w:rFonts w:ascii="Arial" w:hAnsi="Arial" w:cs="Arial"/>
                <w:sz w:val="24"/>
                <w:szCs w:val="24"/>
              </w:rPr>
              <w:t xml:space="preserve">Recognise that the RSHE programme is just one part of what a school can do to help a child to develop the knowledge, skills, attitudes and understanding they need to fulfil their potential. </w:t>
            </w:r>
          </w:p>
        </w:tc>
        <w:tc>
          <w:tcPr>
            <w:tcW w:w="3801" w:type="dxa"/>
          </w:tcPr>
          <w:p w14:paraId="2C7C5B91" w14:textId="4425A6E8" w:rsidR="006322F7" w:rsidRPr="00550B84" w:rsidRDefault="2AD8A8EF" w:rsidP="00550B84">
            <w:pPr>
              <w:rPr>
                <w:rFonts w:ascii="Arial" w:hAnsi="Arial" w:cs="Arial"/>
                <w:sz w:val="24"/>
                <w:szCs w:val="24"/>
              </w:rPr>
            </w:pPr>
            <w:r w:rsidRPr="00550B84">
              <w:rPr>
                <w:rFonts w:ascii="Arial" w:hAnsi="Arial" w:cs="Arial"/>
                <w:sz w:val="24"/>
                <w:szCs w:val="24"/>
              </w:rPr>
              <w:t>Planning beyond RSHE includes opportunities for pupils to strengthen their mental health and develop their emotional literacy, effectively communicate, and prepare for next steps.</w:t>
            </w:r>
          </w:p>
        </w:tc>
        <w:tc>
          <w:tcPr>
            <w:tcW w:w="3801" w:type="dxa"/>
          </w:tcPr>
          <w:p w14:paraId="6D1A99BA" w14:textId="7B93698E" w:rsidR="2AD8A8EF" w:rsidRPr="00550B84" w:rsidRDefault="2AD8A8EF" w:rsidP="00550B84">
            <w:pPr>
              <w:rPr>
                <w:rFonts w:ascii="Arial" w:hAnsi="Arial" w:cs="Arial"/>
                <w:sz w:val="24"/>
                <w:szCs w:val="24"/>
              </w:rPr>
            </w:pPr>
          </w:p>
        </w:tc>
        <w:tc>
          <w:tcPr>
            <w:tcW w:w="2272" w:type="dxa"/>
          </w:tcPr>
          <w:p w14:paraId="67CC371C" w14:textId="77777777" w:rsidR="006322F7" w:rsidRPr="00550B84" w:rsidRDefault="006322F7" w:rsidP="00550B84">
            <w:pPr>
              <w:rPr>
                <w:rFonts w:ascii="Arial" w:hAnsi="Arial" w:cs="Arial"/>
                <w:sz w:val="24"/>
                <w:szCs w:val="24"/>
              </w:rPr>
            </w:pPr>
          </w:p>
        </w:tc>
      </w:tr>
      <w:tr w:rsidR="006322F7" w:rsidRPr="00550B84" w14:paraId="2B693ACC" w14:textId="206B19BF" w:rsidTr="00550B84">
        <w:tc>
          <w:tcPr>
            <w:tcW w:w="4075" w:type="dxa"/>
          </w:tcPr>
          <w:p w14:paraId="14696C37" w14:textId="6ACC0C34" w:rsidR="006322F7" w:rsidRPr="00550B84" w:rsidRDefault="00E61149" w:rsidP="00550B84">
            <w:pPr>
              <w:rPr>
                <w:rFonts w:ascii="Arial" w:hAnsi="Arial" w:cs="Arial"/>
                <w:sz w:val="24"/>
                <w:szCs w:val="24"/>
              </w:rPr>
            </w:pPr>
            <w:r w:rsidRPr="00550B84">
              <w:rPr>
                <w:rFonts w:ascii="Arial" w:hAnsi="Arial" w:cs="Arial"/>
                <w:sz w:val="24"/>
                <w:szCs w:val="24"/>
              </w:rPr>
              <w:t xml:space="preserve">Link RSHE to other whole school approaches, to pastoral support, and provide a setting where the responsible choice becomes the easy choice. </w:t>
            </w:r>
          </w:p>
        </w:tc>
        <w:tc>
          <w:tcPr>
            <w:tcW w:w="3801" w:type="dxa"/>
          </w:tcPr>
          <w:p w14:paraId="357E8A0C" w14:textId="74B1B3ED" w:rsidR="006322F7" w:rsidRPr="00550B84" w:rsidRDefault="2AD8A8EF" w:rsidP="00550B84">
            <w:pPr>
              <w:rPr>
                <w:rFonts w:ascii="Arial" w:hAnsi="Arial" w:cs="Arial"/>
                <w:sz w:val="24"/>
                <w:szCs w:val="24"/>
              </w:rPr>
            </w:pPr>
            <w:r w:rsidRPr="00550B84">
              <w:rPr>
                <w:rFonts w:ascii="Arial" w:hAnsi="Arial" w:cs="Arial"/>
                <w:sz w:val="24"/>
                <w:szCs w:val="24"/>
              </w:rPr>
              <w:t>The curriculum content is consistent with the approaches to supporting positive behaviour such as rules, praise, emotional literacy, regulation techniques, problem solving.</w:t>
            </w:r>
          </w:p>
        </w:tc>
        <w:tc>
          <w:tcPr>
            <w:tcW w:w="3801" w:type="dxa"/>
          </w:tcPr>
          <w:p w14:paraId="3A2FF5BD" w14:textId="48C045DC" w:rsidR="2AD8A8EF" w:rsidRPr="00550B84" w:rsidRDefault="2AD8A8EF" w:rsidP="00550B84">
            <w:pPr>
              <w:rPr>
                <w:rFonts w:ascii="Arial" w:hAnsi="Arial" w:cs="Arial"/>
                <w:sz w:val="24"/>
                <w:szCs w:val="24"/>
              </w:rPr>
            </w:pPr>
          </w:p>
        </w:tc>
        <w:tc>
          <w:tcPr>
            <w:tcW w:w="2272" w:type="dxa"/>
          </w:tcPr>
          <w:p w14:paraId="47C76F6E" w14:textId="77777777" w:rsidR="006322F7" w:rsidRPr="00550B84" w:rsidRDefault="006322F7" w:rsidP="00550B84">
            <w:pPr>
              <w:rPr>
                <w:rFonts w:ascii="Arial" w:hAnsi="Arial" w:cs="Arial"/>
                <w:sz w:val="24"/>
                <w:szCs w:val="24"/>
              </w:rPr>
            </w:pPr>
          </w:p>
        </w:tc>
      </w:tr>
      <w:tr w:rsidR="006322F7" w:rsidRPr="00550B84" w14:paraId="72393F46" w14:textId="490AADE5" w:rsidTr="00550B84">
        <w:tc>
          <w:tcPr>
            <w:tcW w:w="4075" w:type="dxa"/>
          </w:tcPr>
          <w:p w14:paraId="7F015C27" w14:textId="315BEC4F" w:rsidR="006322F7" w:rsidRPr="00550B84" w:rsidRDefault="00E61149" w:rsidP="00550B84">
            <w:pPr>
              <w:rPr>
                <w:rFonts w:ascii="Arial" w:hAnsi="Arial" w:cs="Arial"/>
                <w:sz w:val="24"/>
                <w:szCs w:val="24"/>
              </w:rPr>
            </w:pPr>
            <w:r w:rsidRPr="00550B84">
              <w:rPr>
                <w:rFonts w:ascii="Arial" w:hAnsi="Arial" w:cs="Arial"/>
                <w:sz w:val="24"/>
                <w:szCs w:val="24"/>
              </w:rPr>
              <w:t>Encourage staff, families, and the wider community to get involved.</w:t>
            </w:r>
          </w:p>
        </w:tc>
        <w:tc>
          <w:tcPr>
            <w:tcW w:w="3801" w:type="dxa"/>
          </w:tcPr>
          <w:p w14:paraId="7C757326" w14:textId="05C71B24" w:rsidR="006322F7" w:rsidRPr="00550B84" w:rsidRDefault="2AD8A8EF" w:rsidP="00550B84">
            <w:pPr>
              <w:rPr>
                <w:rFonts w:ascii="Arial" w:hAnsi="Arial" w:cs="Arial"/>
                <w:sz w:val="24"/>
                <w:szCs w:val="24"/>
              </w:rPr>
            </w:pPr>
            <w:r w:rsidRPr="00550B84">
              <w:rPr>
                <w:rFonts w:ascii="Arial" w:hAnsi="Arial" w:cs="Arial"/>
                <w:sz w:val="24"/>
                <w:szCs w:val="24"/>
              </w:rPr>
              <w:t xml:space="preserve">Family learning workshops are held annually, information and activities are sent home after lessons; the website includes RSHE content. Enrichment events such as Healthy Eating or </w:t>
            </w:r>
            <w:r w:rsidRPr="00550B84">
              <w:rPr>
                <w:rFonts w:ascii="Arial" w:hAnsi="Arial" w:cs="Arial"/>
                <w:sz w:val="24"/>
                <w:szCs w:val="24"/>
              </w:rPr>
              <w:lastRenderedPageBreak/>
              <w:t>Wellbeing are open to families. RSHE is included in family consultations and reporting.</w:t>
            </w:r>
          </w:p>
        </w:tc>
        <w:tc>
          <w:tcPr>
            <w:tcW w:w="3801" w:type="dxa"/>
          </w:tcPr>
          <w:p w14:paraId="223B06DE" w14:textId="320A9C29" w:rsidR="2AD8A8EF" w:rsidRPr="00550B84" w:rsidRDefault="2AD8A8EF" w:rsidP="00550B84">
            <w:pPr>
              <w:rPr>
                <w:rFonts w:ascii="Arial" w:hAnsi="Arial" w:cs="Arial"/>
                <w:sz w:val="24"/>
                <w:szCs w:val="24"/>
              </w:rPr>
            </w:pPr>
          </w:p>
        </w:tc>
        <w:tc>
          <w:tcPr>
            <w:tcW w:w="2272" w:type="dxa"/>
          </w:tcPr>
          <w:p w14:paraId="39BE095A" w14:textId="77777777" w:rsidR="006322F7" w:rsidRPr="00550B84" w:rsidRDefault="006322F7" w:rsidP="00550B84">
            <w:pPr>
              <w:rPr>
                <w:rFonts w:ascii="Arial" w:hAnsi="Arial" w:cs="Arial"/>
                <w:sz w:val="24"/>
                <w:szCs w:val="24"/>
              </w:rPr>
            </w:pPr>
          </w:p>
        </w:tc>
      </w:tr>
      <w:tr w:rsidR="006322F7" w:rsidRPr="00550B84" w14:paraId="2B06C56E" w14:textId="4A798F65" w:rsidTr="00550B84">
        <w:tc>
          <w:tcPr>
            <w:tcW w:w="4075" w:type="dxa"/>
          </w:tcPr>
          <w:p w14:paraId="5F751DD8" w14:textId="74A059DB" w:rsidR="006322F7" w:rsidRPr="00550B84" w:rsidRDefault="00117FC6" w:rsidP="00550B84">
            <w:pPr>
              <w:rPr>
                <w:rFonts w:ascii="Arial" w:hAnsi="Arial" w:cs="Arial"/>
                <w:sz w:val="24"/>
                <w:szCs w:val="24"/>
              </w:rPr>
            </w:pPr>
            <w:r w:rsidRPr="00550B84">
              <w:rPr>
                <w:rFonts w:ascii="Arial" w:hAnsi="Arial" w:cs="Arial"/>
                <w:sz w:val="24"/>
                <w:szCs w:val="24"/>
              </w:rPr>
              <w:t>Provide opportunities for children and young people to make real decisions about their lives, to take part in activities which simulate adult choices and where they can demonstrate their ability to take responsibility for their decisions.</w:t>
            </w:r>
          </w:p>
        </w:tc>
        <w:tc>
          <w:tcPr>
            <w:tcW w:w="3801" w:type="dxa"/>
          </w:tcPr>
          <w:p w14:paraId="6EE13BD2" w14:textId="766B8A8C" w:rsidR="006322F7" w:rsidRPr="00550B84" w:rsidRDefault="2AD8A8EF" w:rsidP="00550B84">
            <w:pPr>
              <w:rPr>
                <w:rFonts w:ascii="Arial" w:hAnsi="Arial" w:cs="Arial"/>
                <w:sz w:val="24"/>
                <w:szCs w:val="24"/>
              </w:rPr>
            </w:pPr>
            <w:r w:rsidRPr="00550B84">
              <w:rPr>
                <w:rFonts w:ascii="Arial" w:hAnsi="Arial" w:cs="Arial"/>
                <w:sz w:val="24"/>
                <w:szCs w:val="24"/>
              </w:rPr>
              <w:t>Pupils are given roles and responsibilities around school carrying out tasks and / or supporting peers. The wider curriculum includes opportunities to practise RSHE skills and strategies</w:t>
            </w:r>
          </w:p>
        </w:tc>
        <w:tc>
          <w:tcPr>
            <w:tcW w:w="3801" w:type="dxa"/>
          </w:tcPr>
          <w:p w14:paraId="421E9A55" w14:textId="0412EA39" w:rsidR="2AD8A8EF" w:rsidRPr="00550B84" w:rsidRDefault="2AD8A8EF" w:rsidP="00550B84">
            <w:pPr>
              <w:rPr>
                <w:rFonts w:ascii="Arial" w:hAnsi="Arial" w:cs="Arial"/>
                <w:sz w:val="24"/>
                <w:szCs w:val="24"/>
              </w:rPr>
            </w:pPr>
          </w:p>
        </w:tc>
        <w:tc>
          <w:tcPr>
            <w:tcW w:w="2272" w:type="dxa"/>
          </w:tcPr>
          <w:p w14:paraId="347EFD65" w14:textId="77777777" w:rsidR="006322F7" w:rsidRPr="00550B84" w:rsidRDefault="006322F7" w:rsidP="00550B84">
            <w:pPr>
              <w:rPr>
                <w:rFonts w:ascii="Arial" w:hAnsi="Arial" w:cs="Arial"/>
                <w:sz w:val="24"/>
                <w:szCs w:val="24"/>
              </w:rPr>
            </w:pPr>
          </w:p>
        </w:tc>
      </w:tr>
      <w:tr w:rsidR="006322F7" w:rsidRPr="00550B84" w14:paraId="10EB66E4" w14:textId="06CBCE28" w:rsidTr="00550B84">
        <w:tc>
          <w:tcPr>
            <w:tcW w:w="4075" w:type="dxa"/>
          </w:tcPr>
          <w:p w14:paraId="3DD0DE42" w14:textId="5D4691A7" w:rsidR="006322F7" w:rsidRPr="00550B84" w:rsidRDefault="00117FC6" w:rsidP="00550B84">
            <w:pPr>
              <w:rPr>
                <w:rFonts w:ascii="Arial" w:hAnsi="Arial" w:cs="Arial"/>
                <w:sz w:val="24"/>
                <w:szCs w:val="24"/>
              </w:rPr>
            </w:pPr>
            <w:r w:rsidRPr="00550B84">
              <w:rPr>
                <w:rFonts w:ascii="Arial" w:hAnsi="Arial" w:cs="Arial"/>
                <w:sz w:val="24"/>
                <w:szCs w:val="24"/>
              </w:rPr>
              <w:t>Provide a safe and supportive learning environment where children and young people can develop the confidence to ask questions, challenge the information they are offered, draw on their own experience, express their views and opinions and put what they have learned into practice in their own lives</w:t>
            </w:r>
          </w:p>
        </w:tc>
        <w:tc>
          <w:tcPr>
            <w:tcW w:w="3801" w:type="dxa"/>
          </w:tcPr>
          <w:p w14:paraId="6EAED36A" w14:textId="4E819A51" w:rsidR="006322F7" w:rsidRPr="00550B84" w:rsidRDefault="2AD8A8EF" w:rsidP="00550B84">
            <w:pPr>
              <w:rPr>
                <w:rFonts w:ascii="Arial" w:hAnsi="Arial" w:cs="Arial"/>
                <w:sz w:val="24"/>
                <w:szCs w:val="24"/>
              </w:rPr>
            </w:pPr>
            <w:r w:rsidRPr="00550B84">
              <w:rPr>
                <w:rFonts w:ascii="Arial" w:eastAsia="Arial" w:hAnsi="Arial" w:cs="Arial"/>
                <w:sz w:val="24"/>
                <w:szCs w:val="24"/>
              </w:rPr>
              <w:t>There is a classroom agreement clearly displayed. The teacher is actively using this to maintain a safe learning space.</w:t>
            </w:r>
            <w:r w:rsidR="009511EF" w:rsidRPr="00550B84">
              <w:rPr>
                <w:rFonts w:ascii="Arial" w:eastAsia="Arial" w:hAnsi="Arial" w:cs="Arial"/>
                <w:sz w:val="24"/>
                <w:szCs w:val="24"/>
              </w:rPr>
              <w:t xml:space="preserve">  Planning shows links to sources of information, guidance and advice that pupils are signposted to where needed; reinforced through school.  Tools such as ‘ask-it basket’, post boxes or worry monsters facilitate questions being asked and addressed.</w:t>
            </w:r>
          </w:p>
        </w:tc>
        <w:tc>
          <w:tcPr>
            <w:tcW w:w="3801" w:type="dxa"/>
          </w:tcPr>
          <w:p w14:paraId="1E026150" w14:textId="24C7910F" w:rsidR="2AD8A8EF" w:rsidRPr="00550B84" w:rsidRDefault="2AD8A8EF" w:rsidP="00550B84">
            <w:pPr>
              <w:rPr>
                <w:rFonts w:ascii="Arial" w:hAnsi="Arial" w:cs="Arial"/>
                <w:sz w:val="24"/>
                <w:szCs w:val="24"/>
              </w:rPr>
            </w:pPr>
          </w:p>
        </w:tc>
        <w:tc>
          <w:tcPr>
            <w:tcW w:w="2272" w:type="dxa"/>
          </w:tcPr>
          <w:p w14:paraId="53B08C6D" w14:textId="77777777" w:rsidR="006322F7" w:rsidRPr="00550B84" w:rsidRDefault="006322F7" w:rsidP="00550B84">
            <w:pPr>
              <w:rPr>
                <w:rFonts w:ascii="Arial" w:hAnsi="Arial" w:cs="Arial"/>
                <w:sz w:val="24"/>
                <w:szCs w:val="24"/>
              </w:rPr>
            </w:pPr>
          </w:p>
        </w:tc>
      </w:tr>
    </w:tbl>
    <w:p w14:paraId="1BD3BCE5" w14:textId="77777777" w:rsidR="00896F2C" w:rsidRPr="00550B84" w:rsidRDefault="002E6064">
      <w:pPr>
        <w:rPr>
          <w:rFonts w:ascii="Arial" w:hAnsi="Arial" w:cs="Arial"/>
          <w:sz w:val="24"/>
          <w:szCs w:val="24"/>
        </w:rPr>
      </w:pPr>
    </w:p>
    <w:sectPr w:rsidR="00896F2C" w:rsidRPr="00550B84" w:rsidSect="00550B84">
      <w:foot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4A5C" w14:textId="77777777" w:rsidR="00DE0CA4" w:rsidRDefault="00DE0CA4" w:rsidP="0071213A">
      <w:pPr>
        <w:spacing w:after="0" w:line="240" w:lineRule="auto"/>
      </w:pPr>
      <w:r>
        <w:separator/>
      </w:r>
    </w:p>
  </w:endnote>
  <w:endnote w:type="continuationSeparator" w:id="0">
    <w:p w14:paraId="155D96C5" w14:textId="77777777" w:rsidR="00DE0CA4" w:rsidRDefault="00DE0CA4" w:rsidP="0071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BA38" w14:textId="22A26FF3" w:rsidR="008A006C" w:rsidRPr="008A006C" w:rsidRDefault="008A006C">
    <w:pPr>
      <w:pStyle w:val="Footer"/>
      <w:rPr>
        <w:rFonts w:ascii="Arial" w:hAnsi="Arial" w:cs="Arial"/>
      </w:rPr>
    </w:pPr>
    <w:r w:rsidRPr="008A006C">
      <w:rPr>
        <w:rFonts w:ascii="Arial" w:hAnsi="Arial" w:cs="Arial"/>
      </w:rPr>
      <w:t>Updated May 2022</w:t>
    </w:r>
  </w:p>
  <w:p w14:paraId="20BBDB93" w14:textId="77777777" w:rsidR="008A006C" w:rsidRDefault="008A0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7125" w14:textId="77777777" w:rsidR="00DE0CA4" w:rsidRDefault="00DE0CA4" w:rsidP="0071213A">
      <w:pPr>
        <w:spacing w:after="0" w:line="240" w:lineRule="auto"/>
      </w:pPr>
      <w:r>
        <w:separator/>
      </w:r>
    </w:p>
  </w:footnote>
  <w:footnote w:type="continuationSeparator" w:id="0">
    <w:p w14:paraId="036276B8" w14:textId="77777777" w:rsidR="00DE0CA4" w:rsidRDefault="00DE0CA4" w:rsidP="0071213A">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HKglROKIXhhlwI" id="NqXUGzBc"/>
    <int:WordHash hashCode="K756fC1QrLG8Xr" id="iJBf7jkA"/>
  </int:Manifest>
  <int:Observations>
    <int:Content id="NqXUGzBc">
      <int:Rejection type="AugLoop_Acronyms_AcronymsCritique"/>
    </int:Content>
    <int:Content id="iJBf7jkA">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2BB8"/>
    <w:multiLevelType w:val="hybridMultilevel"/>
    <w:tmpl w:val="FCD8889A"/>
    <w:lvl w:ilvl="0" w:tplc="0894809E">
      <w:start w:val="1"/>
      <w:numFmt w:val="bullet"/>
      <w:lvlText w:val="•"/>
      <w:lvlJc w:val="left"/>
      <w:pPr>
        <w:tabs>
          <w:tab w:val="num" w:pos="720"/>
        </w:tabs>
        <w:ind w:left="720" w:hanging="360"/>
      </w:pPr>
      <w:rPr>
        <w:rFonts w:ascii="Times New Roman" w:hAnsi="Times New Roman" w:hint="default"/>
      </w:rPr>
    </w:lvl>
    <w:lvl w:ilvl="1" w:tplc="A1060740" w:tentative="1">
      <w:start w:val="1"/>
      <w:numFmt w:val="bullet"/>
      <w:lvlText w:val="•"/>
      <w:lvlJc w:val="left"/>
      <w:pPr>
        <w:tabs>
          <w:tab w:val="num" w:pos="1440"/>
        </w:tabs>
        <w:ind w:left="1440" w:hanging="360"/>
      </w:pPr>
      <w:rPr>
        <w:rFonts w:ascii="Times New Roman" w:hAnsi="Times New Roman" w:hint="default"/>
      </w:rPr>
    </w:lvl>
    <w:lvl w:ilvl="2" w:tplc="65D897FA" w:tentative="1">
      <w:start w:val="1"/>
      <w:numFmt w:val="bullet"/>
      <w:lvlText w:val="•"/>
      <w:lvlJc w:val="left"/>
      <w:pPr>
        <w:tabs>
          <w:tab w:val="num" w:pos="2160"/>
        </w:tabs>
        <w:ind w:left="2160" w:hanging="360"/>
      </w:pPr>
      <w:rPr>
        <w:rFonts w:ascii="Times New Roman" w:hAnsi="Times New Roman" w:hint="default"/>
      </w:rPr>
    </w:lvl>
    <w:lvl w:ilvl="3" w:tplc="D1F43BD2" w:tentative="1">
      <w:start w:val="1"/>
      <w:numFmt w:val="bullet"/>
      <w:lvlText w:val="•"/>
      <w:lvlJc w:val="left"/>
      <w:pPr>
        <w:tabs>
          <w:tab w:val="num" w:pos="2880"/>
        </w:tabs>
        <w:ind w:left="2880" w:hanging="360"/>
      </w:pPr>
      <w:rPr>
        <w:rFonts w:ascii="Times New Roman" w:hAnsi="Times New Roman" w:hint="default"/>
      </w:rPr>
    </w:lvl>
    <w:lvl w:ilvl="4" w:tplc="58763E98" w:tentative="1">
      <w:start w:val="1"/>
      <w:numFmt w:val="bullet"/>
      <w:lvlText w:val="•"/>
      <w:lvlJc w:val="left"/>
      <w:pPr>
        <w:tabs>
          <w:tab w:val="num" w:pos="3600"/>
        </w:tabs>
        <w:ind w:left="3600" w:hanging="360"/>
      </w:pPr>
      <w:rPr>
        <w:rFonts w:ascii="Times New Roman" w:hAnsi="Times New Roman" w:hint="default"/>
      </w:rPr>
    </w:lvl>
    <w:lvl w:ilvl="5" w:tplc="B66AAD96" w:tentative="1">
      <w:start w:val="1"/>
      <w:numFmt w:val="bullet"/>
      <w:lvlText w:val="•"/>
      <w:lvlJc w:val="left"/>
      <w:pPr>
        <w:tabs>
          <w:tab w:val="num" w:pos="4320"/>
        </w:tabs>
        <w:ind w:left="4320" w:hanging="360"/>
      </w:pPr>
      <w:rPr>
        <w:rFonts w:ascii="Times New Roman" w:hAnsi="Times New Roman" w:hint="default"/>
      </w:rPr>
    </w:lvl>
    <w:lvl w:ilvl="6" w:tplc="E3E2ECF0" w:tentative="1">
      <w:start w:val="1"/>
      <w:numFmt w:val="bullet"/>
      <w:lvlText w:val="•"/>
      <w:lvlJc w:val="left"/>
      <w:pPr>
        <w:tabs>
          <w:tab w:val="num" w:pos="5040"/>
        </w:tabs>
        <w:ind w:left="5040" w:hanging="360"/>
      </w:pPr>
      <w:rPr>
        <w:rFonts w:ascii="Times New Roman" w:hAnsi="Times New Roman" w:hint="default"/>
      </w:rPr>
    </w:lvl>
    <w:lvl w:ilvl="7" w:tplc="3CA05564" w:tentative="1">
      <w:start w:val="1"/>
      <w:numFmt w:val="bullet"/>
      <w:lvlText w:val="•"/>
      <w:lvlJc w:val="left"/>
      <w:pPr>
        <w:tabs>
          <w:tab w:val="num" w:pos="5760"/>
        </w:tabs>
        <w:ind w:left="5760" w:hanging="360"/>
      </w:pPr>
      <w:rPr>
        <w:rFonts w:ascii="Times New Roman" w:hAnsi="Times New Roman" w:hint="default"/>
      </w:rPr>
    </w:lvl>
    <w:lvl w:ilvl="8" w:tplc="59A47E7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F7"/>
    <w:rsid w:val="00091255"/>
    <w:rsid w:val="000A325A"/>
    <w:rsid w:val="00117FC6"/>
    <w:rsid w:val="00174EC3"/>
    <w:rsid w:val="00263160"/>
    <w:rsid w:val="002E6064"/>
    <w:rsid w:val="00381C64"/>
    <w:rsid w:val="00514FB8"/>
    <w:rsid w:val="00550B84"/>
    <w:rsid w:val="006322F7"/>
    <w:rsid w:val="0071213A"/>
    <w:rsid w:val="008A006C"/>
    <w:rsid w:val="009511EF"/>
    <w:rsid w:val="00BC59C3"/>
    <w:rsid w:val="00DE0CA4"/>
    <w:rsid w:val="00E154EA"/>
    <w:rsid w:val="00E61149"/>
    <w:rsid w:val="02EA744A"/>
    <w:rsid w:val="10817649"/>
    <w:rsid w:val="141D5C7A"/>
    <w:rsid w:val="153BBF0F"/>
    <w:rsid w:val="15A170D7"/>
    <w:rsid w:val="173D4138"/>
    <w:rsid w:val="18C7CC2A"/>
    <w:rsid w:val="1A4A742E"/>
    <w:rsid w:val="20B9B5B2"/>
    <w:rsid w:val="20E4237E"/>
    <w:rsid w:val="21879E60"/>
    <w:rsid w:val="227E8786"/>
    <w:rsid w:val="25BF8227"/>
    <w:rsid w:val="2751F8A9"/>
    <w:rsid w:val="27DDB787"/>
    <w:rsid w:val="28EF3563"/>
    <w:rsid w:val="28F722E9"/>
    <w:rsid w:val="2A8B05C4"/>
    <w:rsid w:val="2AD8A8EF"/>
    <w:rsid w:val="2B389840"/>
    <w:rsid w:val="2BD0FE6E"/>
    <w:rsid w:val="2CD702EF"/>
    <w:rsid w:val="2EFA3178"/>
    <w:rsid w:val="310234CE"/>
    <w:rsid w:val="329E052F"/>
    <w:rsid w:val="3389DA9C"/>
    <w:rsid w:val="340F67C4"/>
    <w:rsid w:val="3439D590"/>
    <w:rsid w:val="37717652"/>
    <w:rsid w:val="3C44E775"/>
    <w:rsid w:val="3DB64A0A"/>
    <w:rsid w:val="3DDF4B7D"/>
    <w:rsid w:val="3E6B0A5B"/>
    <w:rsid w:val="405722CD"/>
    <w:rsid w:val="4067C62C"/>
    <w:rsid w:val="418D4166"/>
    <w:rsid w:val="47FC82EA"/>
    <w:rsid w:val="4B98691B"/>
    <w:rsid w:val="4CCFF40D"/>
    <w:rsid w:val="4ED009DD"/>
    <w:rsid w:val="5207AA9F"/>
    <w:rsid w:val="520916F8"/>
    <w:rsid w:val="542F39DE"/>
    <w:rsid w:val="575170E9"/>
    <w:rsid w:val="5902AB01"/>
    <w:rsid w:val="5B4BB3CF"/>
    <w:rsid w:val="5EA403D7"/>
    <w:rsid w:val="5F97C6CA"/>
    <w:rsid w:val="603FD438"/>
    <w:rsid w:val="62F868FF"/>
    <w:rsid w:val="642FF3F1"/>
    <w:rsid w:val="651B32E1"/>
    <w:rsid w:val="66BF8745"/>
    <w:rsid w:val="693EA910"/>
    <w:rsid w:val="69DA0F2E"/>
    <w:rsid w:val="6B8A7465"/>
    <w:rsid w:val="6C9F4B45"/>
    <w:rsid w:val="6E16DF90"/>
    <w:rsid w:val="6FF0E945"/>
    <w:rsid w:val="72B234E0"/>
    <w:rsid w:val="744E0541"/>
    <w:rsid w:val="7B4F85D5"/>
    <w:rsid w:val="7BAF7526"/>
    <w:rsid w:val="7C7B3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AECA3"/>
  <w15:chartTrackingRefBased/>
  <w15:docId w15:val="{FD162804-C75C-4F1A-B1AB-0B1AC32D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2F7"/>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632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322F7"/>
  </w:style>
  <w:style w:type="paragraph" w:styleId="Header">
    <w:name w:val="header"/>
    <w:basedOn w:val="Normal"/>
    <w:link w:val="HeaderChar"/>
    <w:uiPriority w:val="99"/>
    <w:unhideWhenUsed/>
    <w:rsid w:val="00712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13A"/>
  </w:style>
  <w:style w:type="paragraph" w:styleId="Footer">
    <w:name w:val="footer"/>
    <w:basedOn w:val="Normal"/>
    <w:link w:val="FooterChar"/>
    <w:uiPriority w:val="99"/>
    <w:unhideWhenUsed/>
    <w:rsid w:val="00712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13A"/>
  </w:style>
  <w:style w:type="paragraph" w:styleId="Caption">
    <w:name w:val="caption"/>
    <w:basedOn w:val="Normal"/>
    <w:next w:val="Normal"/>
    <w:uiPriority w:val="35"/>
    <w:unhideWhenUsed/>
    <w:qFormat/>
    <w:rsid w:val="00550B8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78">
      <w:bodyDiv w:val="1"/>
      <w:marLeft w:val="0"/>
      <w:marRight w:val="0"/>
      <w:marTop w:val="0"/>
      <w:marBottom w:val="0"/>
      <w:divBdr>
        <w:top w:val="none" w:sz="0" w:space="0" w:color="auto"/>
        <w:left w:val="none" w:sz="0" w:space="0" w:color="auto"/>
        <w:bottom w:val="none" w:sz="0" w:space="0" w:color="auto"/>
        <w:right w:val="none" w:sz="0" w:space="0" w:color="auto"/>
      </w:divBdr>
      <w:divsChild>
        <w:div w:id="736246789">
          <w:marLeft w:val="547"/>
          <w:marRight w:val="0"/>
          <w:marTop w:val="0"/>
          <w:marBottom w:val="0"/>
          <w:divBdr>
            <w:top w:val="none" w:sz="0" w:space="0" w:color="auto"/>
            <w:left w:val="none" w:sz="0" w:space="0" w:color="auto"/>
            <w:bottom w:val="none" w:sz="0" w:space="0" w:color="auto"/>
            <w:right w:val="none" w:sz="0" w:space="0" w:color="auto"/>
          </w:divBdr>
        </w:div>
        <w:div w:id="741372025">
          <w:marLeft w:val="547"/>
          <w:marRight w:val="0"/>
          <w:marTop w:val="0"/>
          <w:marBottom w:val="0"/>
          <w:divBdr>
            <w:top w:val="none" w:sz="0" w:space="0" w:color="auto"/>
            <w:left w:val="none" w:sz="0" w:space="0" w:color="auto"/>
            <w:bottom w:val="none" w:sz="0" w:space="0" w:color="auto"/>
            <w:right w:val="none" w:sz="0" w:space="0" w:color="auto"/>
          </w:divBdr>
        </w:div>
        <w:div w:id="1498955365">
          <w:marLeft w:val="547"/>
          <w:marRight w:val="0"/>
          <w:marTop w:val="0"/>
          <w:marBottom w:val="0"/>
          <w:divBdr>
            <w:top w:val="none" w:sz="0" w:space="0" w:color="auto"/>
            <w:left w:val="none" w:sz="0" w:space="0" w:color="auto"/>
            <w:bottom w:val="none" w:sz="0" w:space="0" w:color="auto"/>
            <w:right w:val="none" w:sz="0" w:space="0" w:color="auto"/>
          </w:divBdr>
        </w:div>
        <w:div w:id="81611681">
          <w:marLeft w:val="547"/>
          <w:marRight w:val="0"/>
          <w:marTop w:val="0"/>
          <w:marBottom w:val="0"/>
          <w:divBdr>
            <w:top w:val="none" w:sz="0" w:space="0" w:color="auto"/>
            <w:left w:val="none" w:sz="0" w:space="0" w:color="auto"/>
            <w:bottom w:val="none" w:sz="0" w:space="0" w:color="auto"/>
            <w:right w:val="none" w:sz="0" w:space="0" w:color="auto"/>
          </w:divBdr>
        </w:div>
        <w:div w:id="550850798">
          <w:marLeft w:val="547"/>
          <w:marRight w:val="0"/>
          <w:marTop w:val="0"/>
          <w:marBottom w:val="0"/>
          <w:divBdr>
            <w:top w:val="none" w:sz="0" w:space="0" w:color="auto"/>
            <w:left w:val="none" w:sz="0" w:space="0" w:color="auto"/>
            <w:bottom w:val="none" w:sz="0" w:space="0" w:color="auto"/>
            <w:right w:val="none" w:sz="0" w:space="0" w:color="auto"/>
          </w:divBdr>
        </w:div>
        <w:div w:id="230190151">
          <w:marLeft w:val="547"/>
          <w:marRight w:val="0"/>
          <w:marTop w:val="0"/>
          <w:marBottom w:val="0"/>
          <w:divBdr>
            <w:top w:val="none" w:sz="0" w:space="0" w:color="auto"/>
            <w:left w:val="none" w:sz="0" w:space="0" w:color="auto"/>
            <w:bottom w:val="none" w:sz="0" w:space="0" w:color="auto"/>
            <w:right w:val="none" w:sz="0" w:space="0" w:color="auto"/>
          </w:divBdr>
        </w:div>
        <w:div w:id="1096445185">
          <w:marLeft w:val="547"/>
          <w:marRight w:val="0"/>
          <w:marTop w:val="0"/>
          <w:marBottom w:val="0"/>
          <w:divBdr>
            <w:top w:val="none" w:sz="0" w:space="0" w:color="auto"/>
            <w:left w:val="none" w:sz="0" w:space="0" w:color="auto"/>
            <w:bottom w:val="none" w:sz="0" w:space="0" w:color="auto"/>
            <w:right w:val="none" w:sz="0" w:space="0" w:color="auto"/>
          </w:divBdr>
        </w:div>
        <w:div w:id="2117825757">
          <w:marLeft w:val="547"/>
          <w:marRight w:val="0"/>
          <w:marTop w:val="0"/>
          <w:marBottom w:val="0"/>
          <w:divBdr>
            <w:top w:val="none" w:sz="0" w:space="0" w:color="auto"/>
            <w:left w:val="none" w:sz="0" w:space="0" w:color="auto"/>
            <w:bottom w:val="none" w:sz="0" w:space="0" w:color="auto"/>
            <w:right w:val="none" w:sz="0" w:space="0" w:color="auto"/>
          </w:divBdr>
        </w:div>
        <w:div w:id="2080908136">
          <w:marLeft w:val="547"/>
          <w:marRight w:val="0"/>
          <w:marTop w:val="0"/>
          <w:marBottom w:val="0"/>
          <w:divBdr>
            <w:top w:val="none" w:sz="0" w:space="0" w:color="auto"/>
            <w:left w:val="none" w:sz="0" w:space="0" w:color="auto"/>
            <w:bottom w:val="none" w:sz="0" w:space="0" w:color="auto"/>
            <w:right w:val="none" w:sz="0" w:space="0" w:color="auto"/>
          </w:divBdr>
        </w:div>
        <w:div w:id="669677093">
          <w:marLeft w:val="547"/>
          <w:marRight w:val="0"/>
          <w:marTop w:val="0"/>
          <w:marBottom w:val="0"/>
          <w:divBdr>
            <w:top w:val="none" w:sz="0" w:space="0" w:color="auto"/>
            <w:left w:val="none" w:sz="0" w:space="0" w:color="auto"/>
            <w:bottom w:val="none" w:sz="0" w:space="0" w:color="auto"/>
            <w:right w:val="none" w:sz="0" w:space="0" w:color="auto"/>
          </w:divBdr>
        </w:div>
        <w:div w:id="553661175">
          <w:marLeft w:val="547"/>
          <w:marRight w:val="0"/>
          <w:marTop w:val="0"/>
          <w:marBottom w:val="0"/>
          <w:divBdr>
            <w:top w:val="none" w:sz="0" w:space="0" w:color="auto"/>
            <w:left w:val="none" w:sz="0" w:space="0" w:color="auto"/>
            <w:bottom w:val="none" w:sz="0" w:space="0" w:color="auto"/>
            <w:right w:val="none" w:sz="0" w:space="0" w:color="auto"/>
          </w:divBdr>
        </w:div>
        <w:div w:id="1598828007">
          <w:marLeft w:val="547"/>
          <w:marRight w:val="0"/>
          <w:marTop w:val="0"/>
          <w:marBottom w:val="0"/>
          <w:divBdr>
            <w:top w:val="none" w:sz="0" w:space="0" w:color="auto"/>
            <w:left w:val="none" w:sz="0" w:space="0" w:color="auto"/>
            <w:bottom w:val="none" w:sz="0" w:space="0" w:color="auto"/>
            <w:right w:val="none" w:sz="0" w:space="0" w:color="auto"/>
          </w:divBdr>
        </w:div>
      </w:divsChild>
    </w:div>
    <w:div w:id="11842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3b71056a44b7416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684AEE3C30BB47BC62FCD4E5AD9B37" ma:contentTypeVersion="6" ma:contentTypeDescription="Create a new document." ma:contentTypeScope="" ma:versionID="8a4d4927ecae8f411a0662500b9d335b">
  <xsd:schema xmlns:xsd="http://www.w3.org/2001/XMLSchema" xmlns:xs="http://www.w3.org/2001/XMLSchema" xmlns:p="http://schemas.microsoft.com/office/2006/metadata/properties" xmlns:ns2="94223aaa-26bc-4776-9cb7-9f7d144c6216" targetNamespace="http://schemas.microsoft.com/office/2006/metadata/properties" ma:root="true" ma:fieldsID="728a157b521480d53ada49eca21d312c" ns2:_="">
    <xsd:import namespace="94223aaa-26bc-4776-9cb7-9f7d144c6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23aaa-26bc-4776-9cb7-9f7d144c6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A4FE3-1A77-4647-A1C6-3AC7720A9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23aaa-26bc-4776-9cb7-9f7d144c6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1265F-F567-43ED-9BD5-29206E1AC895}">
  <ds:schemaRefs>
    <ds:schemaRef ds:uri="http://schemas.microsoft.com/sharepoint/v3/contenttype/forms"/>
  </ds:schemaRefs>
</ds:datastoreItem>
</file>

<file path=customXml/itemProps3.xml><?xml version="1.0" encoding="utf-8"?>
<ds:datastoreItem xmlns:ds="http://schemas.openxmlformats.org/officeDocument/2006/customXml" ds:itemID="{3F64A517-C9EE-4F71-B037-D5815894CD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Ndiaye, Alice</dc:creator>
  <cp:keywords/>
  <dc:description/>
  <cp:lastModifiedBy>Harris, Jennifer</cp:lastModifiedBy>
  <cp:revision>3</cp:revision>
  <dcterms:created xsi:type="dcterms:W3CDTF">2022-06-10T09:52:00Z</dcterms:created>
  <dcterms:modified xsi:type="dcterms:W3CDTF">2022-06-10T09:54:00Z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0x010100F5684AEE3C30BB47BC62FCD4E5AD9B37</vt:lpwstr>
  </property>
</Properties>
</file>