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DEF2" w14:textId="77777777" w:rsidR="00D719A8" w:rsidRPr="005D7F5E" w:rsidRDefault="00D719A8" w:rsidP="00D719A8">
      <w:pPr>
        <w:autoSpaceDE w:val="0"/>
        <w:autoSpaceDN w:val="0"/>
        <w:adjustRightInd w:val="0"/>
        <w:jc w:val="both"/>
        <w:rPr>
          <w:rFonts w:asciiTheme="minorHAnsi" w:hAnsiTheme="minorHAnsi" w:cs="Calibri"/>
          <w:sz w:val="28"/>
          <w:szCs w:val="28"/>
          <w:lang w:eastAsia="en-GB"/>
        </w:rPr>
      </w:pPr>
      <w:permStart w:id="2050631348" w:edGrp="everyone"/>
      <w:permEnd w:id="2050631348"/>
      <w:r w:rsidRPr="005D7F5E">
        <w:rPr>
          <w:rFonts w:asciiTheme="minorHAnsi" w:hAnsiTheme="minorHAnsi" w:cs="Calibri"/>
          <w:sz w:val="28"/>
          <w:szCs w:val="28"/>
          <w:lang w:eastAsia="en-GB"/>
        </w:rPr>
        <w:t>All parent/carer policies and procedures</w:t>
      </w:r>
      <w:r>
        <w:rPr>
          <w:rFonts w:asciiTheme="minorHAnsi" w:hAnsiTheme="minorHAnsi" w:cs="Calibri"/>
          <w:sz w:val="28"/>
          <w:szCs w:val="28"/>
          <w:lang w:eastAsia="en-GB"/>
        </w:rPr>
        <w:t xml:space="preserve"> </w:t>
      </w:r>
      <w:r w:rsidRPr="005D7F5E">
        <w:rPr>
          <w:rFonts w:asciiTheme="minorHAnsi" w:hAnsiTheme="minorHAnsi" w:cs="Calibri"/>
          <w:sz w:val="28"/>
          <w:szCs w:val="28"/>
          <w:lang w:eastAsia="en-GB"/>
        </w:rPr>
        <w:t xml:space="preserve">should be available to share with </w:t>
      </w:r>
      <w:r>
        <w:rPr>
          <w:rFonts w:asciiTheme="minorHAnsi" w:hAnsiTheme="minorHAnsi" w:cs="Calibri"/>
          <w:sz w:val="28"/>
          <w:szCs w:val="28"/>
          <w:lang w:eastAsia="en-GB"/>
        </w:rPr>
        <w:t>t</w:t>
      </w:r>
      <w:r w:rsidRPr="005D7F5E">
        <w:rPr>
          <w:rFonts w:asciiTheme="minorHAnsi" w:hAnsiTheme="minorHAnsi" w:cs="Calibri"/>
          <w:sz w:val="28"/>
          <w:szCs w:val="28"/>
          <w:lang w:eastAsia="en-GB"/>
        </w:rPr>
        <w:t xml:space="preserve">hem </w:t>
      </w:r>
      <w:r>
        <w:rPr>
          <w:rFonts w:asciiTheme="minorHAnsi" w:hAnsiTheme="minorHAnsi" w:cs="Calibri"/>
          <w:sz w:val="28"/>
          <w:szCs w:val="28"/>
          <w:lang w:eastAsia="en-GB"/>
        </w:rPr>
        <w:t xml:space="preserve">so that they can </w:t>
      </w:r>
      <w:r w:rsidRPr="005D7F5E">
        <w:rPr>
          <w:rFonts w:asciiTheme="minorHAnsi" w:hAnsiTheme="minorHAnsi" w:cs="Calibri"/>
          <w:sz w:val="28"/>
          <w:szCs w:val="28"/>
          <w:lang w:eastAsia="en-GB"/>
        </w:rPr>
        <w:t>make an informed decision about their childcare arrangements.</w:t>
      </w:r>
    </w:p>
    <w:p w14:paraId="2DA5BAC3" w14:textId="77777777" w:rsidR="00D719A8" w:rsidRPr="005D7F5E" w:rsidRDefault="00D719A8" w:rsidP="00D719A8">
      <w:pPr>
        <w:autoSpaceDE w:val="0"/>
        <w:autoSpaceDN w:val="0"/>
        <w:adjustRightInd w:val="0"/>
        <w:jc w:val="both"/>
        <w:rPr>
          <w:rFonts w:asciiTheme="minorHAnsi" w:hAnsiTheme="minorHAnsi" w:cs="Calibri"/>
          <w:sz w:val="28"/>
          <w:szCs w:val="28"/>
          <w:lang w:eastAsia="en-GB"/>
        </w:rPr>
      </w:pPr>
    </w:p>
    <w:p w14:paraId="49FAA44E" w14:textId="6DA8866C" w:rsidR="00D719A8" w:rsidRPr="005D7F5E" w:rsidRDefault="00D719A8" w:rsidP="00D719A8">
      <w:pPr>
        <w:autoSpaceDE w:val="0"/>
        <w:autoSpaceDN w:val="0"/>
        <w:adjustRightInd w:val="0"/>
        <w:jc w:val="both"/>
        <w:rPr>
          <w:rFonts w:asciiTheme="minorHAnsi" w:hAnsiTheme="minorHAnsi" w:cs="Calibri"/>
          <w:sz w:val="28"/>
          <w:szCs w:val="28"/>
          <w:lang w:eastAsia="en-GB"/>
        </w:rPr>
      </w:pPr>
      <w:r w:rsidRPr="005D7F5E">
        <w:rPr>
          <w:rFonts w:asciiTheme="minorHAnsi" w:hAnsiTheme="minorHAnsi" w:cs="Calibri"/>
          <w:sz w:val="28"/>
          <w:szCs w:val="28"/>
          <w:lang w:eastAsia="en-GB"/>
        </w:rPr>
        <w:t>It is good practice to ensure these documents are available in a typed format and include a version date/number and review date.</w:t>
      </w:r>
    </w:p>
    <w:p w14:paraId="2F7E1988" w14:textId="77777777" w:rsidR="00D719A8" w:rsidRDefault="00D719A8" w:rsidP="00D719A8">
      <w:pPr>
        <w:autoSpaceDE w:val="0"/>
        <w:autoSpaceDN w:val="0"/>
        <w:adjustRightInd w:val="0"/>
        <w:jc w:val="both"/>
        <w:rPr>
          <w:rFonts w:asciiTheme="minorHAnsi" w:hAnsiTheme="minorHAnsi" w:cs="Calibri"/>
          <w:sz w:val="28"/>
          <w:szCs w:val="28"/>
          <w:lang w:eastAsia="en-GB"/>
        </w:rPr>
      </w:pPr>
    </w:p>
    <w:p w14:paraId="13A63E0A" w14:textId="334FB57A" w:rsidR="00D719A8" w:rsidRDefault="00D719A8" w:rsidP="00D719A8">
      <w:pPr>
        <w:jc w:val="both"/>
        <w:rPr>
          <w:rFonts w:asciiTheme="minorHAnsi" w:hAnsiTheme="minorHAnsi" w:cs="Calibri"/>
          <w:sz w:val="28"/>
          <w:szCs w:val="28"/>
        </w:rPr>
      </w:pPr>
      <w:r w:rsidRPr="006F0865">
        <w:rPr>
          <w:rFonts w:asciiTheme="minorHAnsi" w:hAnsiTheme="minorHAnsi" w:cs="Calibri"/>
          <w:sz w:val="28"/>
          <w:szCs w:val="28"/>
        </w:rPr>
        <w:t>A</w:t>
      </w:r>
      <w:r w:rsidR="009779F0" w:rsidRPr="006F0865">
        <w:rPr>
          <w:rFonts w:asciiTheme="minorHAnsi" w:hAnsiTheme="minorHAnsi" w:cs="Calibri"/>
          <w:sz w:val="28"/>
          <w:szCs w:val="28"/>
        </w:rPr>
        <w:t>n</w:t>
      </w:r>
      <w:r w:rsidRPr="006F0865">
        <w:rPr>
          <w:rFonts w:asciiTheme="minorHAnsi" w:hAnsiTheme="minorHAnsi" w:cs="Calibri"/>
          <w:sz w:val="28"/>
          <w:szCs w:val="28"/>
        </w:rPr>
        <w:t xml:space="preserve"> </w:t>
      </w:r>
      <w:r w:rsidR="005F6D9C" w:rsidRPr="006F0865">
        <w:rPr>
          <w:rFonts w:asciiTheme="minorHAnsi" w:hAnsiTheme="minorHAnsi" w:cs="Calibri"/>
          <w:sz w:val="28"/>
          <w:szCs w:val="28"/>
        </w:rPr>
        <w:t>A</w:t>
      </w:r>
      <w:r w:rsidR="00900A9F" w:rsidRPr="006F0865">
        <w:rPr>
          <w:rFonts w:asciiTheme="minorHAnsi" w:hAnsiTheme="minorHAnsi" w:cs="Calibri"/>
          <w:sz w:val="28"/>
          <w:szCs w:val="28"/>
        </w:rPr>
        <w:t>dmissions</w:t>
      </w:r>
      <w:r w:rsidRPr="006F0865">
        <w:rPr>
          <w:rFonts w:asciiTheme="minorHAnsi" w:hAnsiTheme="minorHAnsi" w:cs="Calibri"/>
          <w:sz w:val="28"/>
          <w:szCs w:val="28"/>
        </w:rPr>
        <w:t xml:space="preserve"> </w:t>
      </w:r>
      <w:r w:rsidR="005F6D9C" w:rsidRPr="006F0865">
        <w:rPr>
          <w:rFonts w:asciiTheme="minorHAnsi" w:hAnsiTheme="minorHAnsi" w:cs="Calibri"/>
          <w:sz w:val="28"/>
          <w:szCs w:val="28"/>
        </w:rPr>
        <w:t>P</w:t>
      </w:r>
      <w:r w:rsidRPr="006F0865">
        <w:rPr>
          <w:rFonts w:asciiTheme="minorHAnsi" w:hAnsiTheme="minorHAnsi" w:cs="Calibri"/>
          <w:sz w:val="28"/>
          <w:szCs w:val="28"/>
        </w:rPr>
        <w:t>olicy must</w:t>
      </w:r>
      <w:r>
        <w:rPr>
          <w:rFonts w:asciiTheme="minorHAnsi" w:hAnsiTheme="minorHAnsi" w:cs="Calibri"/>
          <w:sz w:val="28"/>
          <w:szCs w:val="28"/>
        </w:rPr>
        <w:t xml:space="preserve"> be submitted with other documentation to offer Early Education as part of the Local Authority Funding Agreement.  A provider may choose to combine policies for Early Education to reduce the admin burden, and therefore we expect the requirements to be stated in at least one policy which is written for and shared with families.</w:t>
      </w:r>
    </w:p>
    <w:p w14:paraId="465C89C5" w14:textId="708C1C8E" w:rsidR="00E82D8D" w:rsidRDefault="00E82D8D" w:rsidP="00E82D8D">
      <w:pPr>
        <w:autoSpaceDE w:val="0"/>
        <w:autoSpaceDN w:val="0"/>
        <w:adjustRightInd w:val="0"/>
        <w:jc w:val="both"/>
        <w:rPr>
          <w:rFonts w:asciiTheme="minorHAnsi" w:hAnsiTheme="minorHAnsi" w:cs="Calibri"/>
          <w:sz w:val="28"/>
          <w:szCs w:val="28"/>
          <w:lang w:eastAsia="en-GB"/>
        </w:rPr>
      </w:pPr>
    </w:p>
    <w:p w14:paraId="3E8C4CED" w14:textId="77777777" w:rsidR="00AB33FD" w:rsidRPr="00E82D8D" w:rsidRDefault="00AB33FD" w:rsidP="00AB33FD">
      <w:pPr>
        <w:autoSpaceDE w:val="0"/>
        <w:autoSpaceDN w:val="0"/>
        <w:adjustRightInd w:val="0"/>
        <w:jc w:val="both"/>
        <w:rPr>
          <w:rFonts w:asciiTheme="minorHAnsi" w:hAnsiTheme="minorHAnsi" w:cs="Calibri"/>
          <w:sz w:val="28"/>
          <w:szCs w:val="28"/>
          <w:lang w:eastAsia="en-GB"/>
        </w:rPr>
      </w:pPr>
      <w:r w:rsidRPr="00E82D8D">
        <w:rPr>
          <w:rFonts w:asciiTheme="minorHAnsi" w:hAnsiTheme="minorHAnsi" w:cs="Calibri"/>
          <w:sz w:val="28"/>
          <w:szCs w:val="28"/>
          <w:lang w:eastAsia="en-GB"/>
        </w:rPr>
        <w:t xml:space="preserve">The </w:t>
      </w:r>
      <w:r>
        <w:rPr>
          <w:rFonts w:asciiTheme="minorHAnsi" w:hAnsiTheme="minorHAnsi" w:cs="Calibri"/>
          <w:sz w:val="28"/>
          <w:szCs w:val="28"/>
          <w:lang w:eastAsia="en-GB"/>
        </w:rPr>
        <w:t xml:space="preserve">Local Authority Funding Agreement requires </w:t>
      </w:r>
      <w:r w:rsidRPr="00E82D8D">
        <w:rPr>
          <w:rFonts w:asciiTheme="minorHAnsi" w:hAnsiTheme="minorHAnsi" w:cs="Calibri"/>
          <w:sz w:val="28"/>
          <w:szCs w:val="28"/>
          <w:lang w:eastAsia="en-GB"/>
        </w:rPr>
        <w:t>provider</w:t>
      </w:r>
      <w:r>
        <w:rPr>
          <w:rFonts w:asciiTheme="minorHAnsi" w:hAnsiTheme="minorHAnsi" w:cs="Calibri"/>
          <w:sz w:val="28"/>
          <w:szCs w:val="28"/>
          <w:lang w:eastAsia="en-GB"/>
        </w:rPr>
        <w:t>s</w:t>
      </w:r>
      <w:r w:rsidRPr="00E82D8D">
        <w:rPr>
          <w:rFonts w:asciiTheme="minorHAnsi" w:hAnsiTheme="minorHAnsi" w:cs="Calibri"/>
          <w:sz w:val="28"/>
          <w:szCs w:val="28"/>
          <w:lang w:eastAsia="en-GB"/>
        </w:rPr>
        <w:t xml:space="preserve"> </w:t>
      </w:r>
      <w:r>
        <w:rPr>
          <w:rFonts w:asciiTheme="minorHAnsi" w:hAnsiTheme="minorHAnsi" w:cs="Calibri"/>
          <w:sz w:val="28"/>
          <w:szCs w:val="28"/>
          <w:lang w:eastAsia="en-GB"/>
        </w:rPr>
        <w:t xml:space="preserve">to </w:t>
      </w:r>
      <w:r w:rsidRPr="00E82D8D">
        <w:rPr>
          <w:rFonts w:asciiTheme="minorHAnsi" w:hAnsiTheme="minorHAnsi" w:cs="Calibri"/>
          <w:sz w:val="28"/>
          <w:szCs w:val="28"/>
          <w:lang w:eastAsia="en-GB"/>
        </w:rPr>
        <w:t xml:space="preserve">make information about their </w:t>
      </w:r>
      <w:r>
        <w:rPr>
          <w:rFonts w:asciiTheme="minorHAnsi" w:hAnsiTheme="minorHAnsi" w:cs="Calibri"/>
          <w:sz w:val="28"/>
          <w:szCs w:val="28"/>
          <w:lang w:eastAsia="en-GB"/>
        </w:rPr>
        <w:t xml:space="preserve">Early Education </w:t>
      </w:r>
      <w:r w:rsidRPr="00E82D8D">
        <w:rPr>
          <w:rFonts w:asciiTheme="minorHAnsi" w:hAnsiTheme="minorHAnsi" w:cs="Calibri"/>
          <w:sz w:val="28"/>
          <w:szCs w:val="28"/>
          <w:lang w:eastAsia="en-GB"/>
        </w:rPr>
        <w:t>offer and admissions criteria available to parents/carers at the point the child first accesses provision at their setting.</w:t>
      </w:r>
    </w:p>
    <w:p w14:paraId="4A306B2C" w14:textId="77777777" w:rsidR="00AB33FD" w:rsidRDefault="00AB33FD" w:rsidP="00E82D8D">
      <w:pPr>
        <w:autoSpaceDE w:val="0"/>
        <w:autoSpaceDN w:val="0"/>
        <w:adjustRightInd w:val="0"/>
        <w:jc w:val="both"/>
        <w:rPr>
          <w:rFonts w:asciiTheme="minorHAnsi" w:hAnsiTheme="minorHAnsi" w:cs="Calibri"/>
          <w:sz w:val="28"/>
          <w:szCs w:val="28"/>
          <w:lang w:eastAsia="en-GB"/>
        </w:rPr>
      </w:pPr>
    </w:p>
    <w:p w14:paraId="5C4EF2EE" w14:textId="6F8A75C2" w:rsidR="005C54CD" w:rsidRDefault="005C54CD" w:rsidP="005D7F5E">
      <w:pPr>
        <w:jc w:val="both"/>
        <w:rPr>
          <w:rFonts w:asciiTheme="minorHAnsi" w:hAnsiTheme="minorHAnsi" w:cs="Calibri"/>
          <w:sz w:val="28"/>
          <w:szCs w:val="28"/>
        </w:rPr>
      </w:pPr>
      <w:r w:rsidRPr="006F0865">
        <w:rPr>
          <w:rFonts w:asciiTheme="minorHAnsi" w:hAnsiTheme="minorHAnsi" w:cs="Calibri"/>
          <w:sz w:val="28"/>
          <w:szCs w:val="28"/>
        </w:rPr>
        <w:t xml:space="preserve">An </w:t>
      </w:r>
      <w:r w:rsidR="005F6D9C" w:rsidRPr="006F0865">
        <w:rPr>
          <w:rFonts w:asciiTheme="minorHAnsi" w:hAnsiTheme="minorHAnsi" w:cs="Calibri"/>
          <w:sz w:val="28"/>
          <w:szCs w:val="28"/>
        </w:rPr>
        <w:t>A</w:t>
      </w:r>
      <w:r w:rsidRPr="006F0865">
        <w:rPr>
          <w:rFonts w:asciiTheme="minorHAnsi" w:hAnsiTheme="minorHAnsi" w:cs="Calibri"/>
          <w:sz w:val="28"/>
          <w:szCs w:val="28"/>
        </w:rPr>
        <w:t xml:space="preserve">dmissions </w:t>
      </w:r>
      <w:r w:rsidR="005F6D9C" w:rsidRPr="006F0865">
        <w:rPr>
          <w:rFonts w:asciiTheme="minorHAnsi" w:hAnsiTheme="minorHAnsi" w:cs="Calibri"/>
          <w:sz w:val="28"/>
          <w:szCs w:val="28"/>
        </w:rPr>
        <w:t>P</w:t>
      </w:r>
      <w:r w:rsidR="005D7F5E" w:rsidRPr="006F0865">
        <w:rPr>
          <w:rFonts w:asciiTheme="minorHAnsi" w:hAnsiTheme="minorHAnsi" w:cs="Calibri"/>
          <w:sz w:val="28"/>
          <w:szCs w:val="28"/>
        </w:rPr>
        <w:t>olicy</w:t>
      </w:r>
      <w:r w:rsidR="00B46B62">
        <w:rPr>
          <w:rFonts w:asciiTheme="minorHAnsi" w:hAnsiTheme="minorHAnsi" w:cs="Calibri"/>
          <w:sz w:val="28"/>
          <w:szCs w:val="28"/>
        </w:rPr>
        <w:t xml:space="preserve"> </w:t>
      </w:r>
      <w:r w:rsidR="009A0562">
        <w:rPr>
          <w:rFonts w:asciiTheme="minorHAnsi" w:hAnsiTheme="minorHAnsi" w:cs="Calibri"/>
          <w:sz w:val="28"/>
          <w:szCs w:val="28"/>
        </w:rPr>
        <w:t xml:space="preserve">as a minimum </w:t>
      </w:r>
      <w:r w:rsidR="00B46B62">
        <w:rPr>
          <w:rFonts w:asciiTheme="minorHAnsi" w:hAnsiTheme="minorHAnsi" w:cs="Calibri"/>
          <w:sz w:val="28"/>
          <w:szCs w:val="28"/>
        </w:rPr>
        <w:t xml:space="preserve">should include </w:t>
      </w:r>
      <w:r w:rsidR="001D70F0">
        <w:rPr>
          <w:rFonts w:asciiTheme="minorHAnsi" w:hAnsiTheme="minorHAnsi" w:cs="Calibri"/>
          <w:sz w:val="28"/>
          <w:szCs w:val="28"/>
        </w:rPr>
        <w:t xml:space="preserve">information concerning </w:t>
      </w:r>
      <w:r>
        <w:rPr>
          <w:rFonts w:asciiTheme="minorHAnsi" w:hAnsiTheme="minorHAnsi" w:cs="Calibri"/>
          <w:sz w:val="28"/>
          <w:szCs w:val="28"/>
        </w:rPr>
        <w:t>–</w:t>
      </w:r>
      <w:permStart w:id="1372213785" w:edGrp="everyone"/>
      <w:permEnd w:id="1372213785"/>
    </w:p>
    <w:p w14:paraId="4A55002E" w14:textId="39F4B15D" w:rsidR="00FC764D" w:rsidRDefault="00FC764D" w:rsidP="005C54C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Childcare Provision</w:t>
      </w:r>
    </w:p>
    <w:p w14:paraId="11AD81AA" w14:textId="4854158C" w:rsidR="00BD4B7F" w:rsidRDefault="00BD4B7F" w:rsidP="005C54C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Early Education Offer</w:t>
      </w:r>
    </w:p>
    <w:p w14:paraId="00492FCE" w14:textId="7A29C772" w:rsidR="00981372" w:rsidRDefault="00981372" w:rsidP="00981372">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Number of Places</w:t>
      </w:r>
    </w:p>
    <w:p w14:paraId="591AF4AF" w14:textId="41E2BB34" w:rsidR="00981372" w:rsidRDefault="00981372" w:rsidP="00981372">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 xml:space="preserve">Hours when offer is </w:t>
      </w:r>
      <w:proofErr w:type="gramStart"/>
      <w:r>
        <w:rPr>
          <w:rFonts w:asciiTheme="minorHAnsi" w:hAnsiTheme="minorHAnsi" w:cs="Calibri"/>
          <w:sz w:val="28"/>
          <w:szCs w:val="28"/>
        </w:rPr>
        <w:t>available</w:t>
      </w:r>
      <w:proofErr w:type="gramEnd"/>
    </w:p>
    <w:p w14:paraId="25F155B4" w14:textId="1E2EC12D" w:rsidR="00981372" w:rsidRDefault="00981372" w:rsidP="00981372">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Whether any restriction has been applied</w:t>
      </w:r>
    </w:p>
    <w:p w14:paraId="506917D6" w14:textId="271C5CD8" w:rsidR="005C54CD" w:rsidRDefault="001D70F0" w:rsidP="005C54C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Waiting Lists</w:t>
      </w:r>
    </w:p>
    <w:p w14:paraId="28B72399" w14:textId="50EB700F" w:rsidR="001D70F0" w:rsidRDefault="001D70F0" w:rsidP="005C54C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 xml:space="preserve">Fees (Deposit, Registration </w:t>
      </w:r>
      <w:proofErr w:type="gramStart"/>
      <w:r>
        <w:rPr>
          <w:rFonts w:asciiTheme="minorHAnsi" w:hAnsiTheme="minorHAnsi" w:cs="Calibri"/>
          <w:sz w:val="28"/>
          <w:szCs w:val="28"/>
        </w:rPr>
        <w:t>Fee</w:t>
      </w:r>
      <w:proofErr w:type="gramEnd"/>
      <w:r>
        <w:rPr>
          <w:rFonts w:asciiTheme="minorHAnsi" w:hAnsiTheme="minorHAnsi" w:cs="Calibri"/>
          <w:sz w:val="28"/>
          <w:szCs w:val="28"/>
        </w:rPr>
        <w:t xml:space="preserve"> and Retainer)</w:t>
      </w:r>
    </w:p>
    <w:p w14:paraId="0CCE1B02" w14:textId="39AE53E6" w:rsidR="001D70F0" w:rsidRDefault="001D70F0" w:rsidP="005C54C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Allocation of a Place (</w:t>
      </w:r>
      <w:r w:rsidR="00FC764D">
        <w:rPr>
          <w:rFonts w:asciiTheme="minorHAnsi" w:hAnsiTheme="minorHAnsi" w:cs="Calibri"/>
          <w:sz w:val="28"/>
          <w:szCs w:val="28"/>
        </w:rPr>
        <w:t>Criteria Used</w:t>
      </w:r>
      <w:r>
        <w:rPr>
          <w:rFonts w:asciiTheme="minorHAnsi" w:hAnsiTheme="minorHAnsi" w:cs="Calibri"/>
          <w:sz w:val="28"/>
          <w:szCs w:val="28"/>
        </w:rPr>
        <w:t>)</w:t>
      </w:r>
    </w:p>
    <w:p w14:paraId="3D23F28A" w14:textId="77853935" w:rsidR="001D70F0" w:rsidRDefault="001D70F0" w:rsidP="005C54C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Registration Process</w:t>
      </w:r>
    </w:p>
    <w:p w14:paraId="3EC21F81" w14:textId="6DA91904" w:rsidR="00BD4B7F" w:rsidRDefault="00BD4B7F" w:rsidP="00BD4B7F">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 xml:space="preserve">Documentation to register </w:t>
      </w:r>
      <w:proofErr w:type="gramStart"/>
      <w:r>
        <w:rPr>
          <w:rFonts w:asciiTheme="minorHAnsi" w:hAnsiTheme="minorHAnsi" w:cs="Calibri"/>
          <w:sz w:val="28"/>
          <w:szCs w:val="28"/>
        </w:rPr>
        <w:t>interest</w:t>
      </w:r>
      <w:proofErr w:type="gramEnd"/>
    </w:p>
    <w:p w14:paraId="5BAAA42C" w14:textId="2A438DFA" w:rsidR="00BD4B7F" w:rsidRDefault="00BD4B7F" w:rsidP="00BD4B7F">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 xml:space="preserve">Documentation to confirm </w:t>
      </w:r>
      <w:proofErr w:type="gramStart"/>
      <w:r>
        <w:rPr>
          <w:rFonts w:asciiTheme="minorHAnsi" w:hAnsiTheme="minorHAnsi" w:cs="Calibri"/>
          <w:sz w:val="28"/>
          <w:szCs w:val="28"/>
        </w:rPr>
        <w:t>place</w:t>
      </w:r>
      <w:proofErr w:type="gramEnd"/>
    </w:p>
    <w:p w14:paraId="0B31B328" w14:textId="673A1AF0" w:rsidR="00BD4B7F" w:rsidRDefault="00BD4B7F" w:rsidP="00BD4B7F">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Home visits (if applicable)</w:t>
      </w:r>
    </w:p>
    <w:p w14:paraId="3DA46817" w14:textId="40AA2DC5" w:rsidR="00BD4B7F" w:rsidRDefault="00BD4B7F" w:rsidP="00BD4B7F">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Settling in Sessions (if applicable)</w:t>
      </w:r>
    </w:p>
    <w:p w14:paraId="36AC93BA" w14:textId="77777777" w:rsidR="00BD4B7F" w:rsidRDefault="00BD4B7F" w:rsidP="00BD4B7F">
      <w:pPr>
        <w:pStyle w:val="ListParagraph"/>
        <w:numPr>
          <w:ilvl w:val="1"/>
          <w:numId w:val="14"/>
        </w:numPr>
        <w:jc w:val="both"/>
        <w:rPr>
          <w:rFonts w:asciiTheme="minorHAnsi" w:hAnsiTheme="minorHAnsi" w:cs="Calibri"/>
          <w:sz w:val="28"/>
          <w:szCs w:val="28"/>
        </w:rPr>
      </w:pPr>
      <w:r>
        <w:rPr>
          <w:rFonts w:asciiTheme="minorHAnsi" w:hAnsiTheme="minorHAnsi" w:cs="Calibri"/>
          <w:sz w:val="28"/>
          <w:szCs w:val="28"/>
        </w:rPr>
        <w:t>Documentation required to confirm eligibility to Early Education</w:t>
      </w:r>
    </w:p>
    <w:p w14:paraId="15AC0810" w14:textId="77777777" w:rsidR="00BD4B7F" w:rsidRDefault="00BD4B7F" w:rsidP="00BD4B7F">
      <w:pPr>
        <w:pStyle w:val="ListParagraph"/>
        <w:numPr>
          <w:ilvl w:val="2"/>
          <w:numId w:val="14"/>
        </w:numPr>
        <w:jc w:val="both"/>
        <w:rPr>
          <w:rFonts w:asciiTheme="minorHAnsi" w:hAnsiTheme="minorHAnsi" w:cs="Calibri"/>
          <w:sz w:val="28"/>
          <w:szCs w:val="28"/>
        </w:rPr>
      </w:pPr>
      <w:r>
        <w:rPr>
          <w:rFonts w:asciiTheme="minorHAnsi" w:hAnsiTheme="minorHAnsi" w:cs="Calibri"/>
          <w:sz w:val="28"/>
          <w:szCs w:val="28"/>
        </w:rPr>
        <w:t>Verify date of birth</w:t>
      </w:r>
    </w:p>
    <w:p w14:paraId="03BDF7DA" w14:textId="77777777" w:rsidR="00BD4B7F" w:rsidRDefault="00BD4B7F" w:rsidP="00BD4B7F">
      <w:pPr>
        <w:pStyle w:val="ListParagraph"/>
        <w:numPr>
          <w:ilvl w:val="2"/>
          <w:numId w:val="14"/>
        </w:numPr>
        <w:jc w:val="both"/>
        <w:rPr>
          <w:rFonts w:asciiTheme="minorHAnsi" w:hAnsiTheme="minorHAnsi" w:cs="Calibri"/>
          <w:sz w:val="28"/>
          <w:szCs w:val="28"/>
        </w:rPr>
      </w:pPr>
      <w:r>
        <w:rPr>
          <w:rFonts w:asciiTheme="minorHAnsi" w:hAnsiTheme="minorHAnsi" w:cs="Calibri"/>
          <w:sz w:val="28"/>
          <w:szCs w:val="28"/>
        </w:rPr>
        <w:t xml:space="preserve">Evidence to validate national criteria has been </w:t>
      </w:r>
      <w:proofErr w:type="gramStart"/>
      <w:r>
        <w:rPr>
          <w:rFonts w:asciiTheme="minorHAnsi" w:hAnsiTheme="minorHAnsi" w:cs="Calibri"/>
          <w:sz w:val="28"/>
          <w:szCs w:val="28"/>
        </w:rPr>
        <w:t>met</w:t>
      </w:r>
      <w:proofErr w:type="gramEnd"/>
    </w:p>
    <w:p w14:paraId="2175939C" w14:textId="090348C5" w:rsidR="00BD4B7F" w:rsidRPr="00BD4B7F" w:rsidRDefault="00BD4B7F" w:rsidP="00BD4B7F">
      <w:pPr>
        <w:pStyle w:val="ListParagraph"/>
        <w:numPr>
          <w:ilvl w:val="2"/>
          <w:numId w:val="14"/>
        </w:numPr>
        <w:jc w:val="both"/>
        <w:rPr>
          <w:rFonts w:asciiTheme="minorHAnsi" w:hAnsiTheme="minorHAnsi" w:cs="Calibri"/>
          <w:sz w:val="28"/>
          <w:szCs w:val="28"/>
        </w:rPr>
      </w:pPr>
      <w:r>
        <w:rPr>
          <w:rFonts w:asciiTheme="minorHAnsi" w:hAnsiTheme="minorHAnsi" w:cs="Calibri"/>
          <w:sz w:val="28"/>
          <w:szCs w:val="28"/>
        </w:rPr>
        <w:t xml:space="preserve">Process to claim </w:t>
      </w:r>
      <w:proofErr w:type="gramStart"/>
      <w:r>
        <w:rPr>
          <w:rFonts w:asciiTheme="minorHAnsi" w:hAnsiTheme="minorHAnsi" w:cs="Calibri"/>
          <w:sz w:val="28"/>
          <w:szCs w:val="28"/>
        </w:rPr>
        <w:t>funding</w:t>
      </w:r>
      <w:proofErr w:type="gramEnd"/>
    </w:p>
    <w:p w14:paraId="5CCB7DF0" w14:textId="6FC6F56C" w:rsidR="00BD4B7F" w:rsidRDefault="00BD4B7F" w:rsidP="005C54C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Contractual Arrangements</w:t>
      </w:r>
    </w:p>
    <w:p w14:paraId="4F0FB59D" w14:textId="49F46786" w:rsidR="001D70F0" w:rsidRPr="00FC764D" w:rsidRDefault="001D70F0" w:rsidP="00FC764D">
      <w:pPr>
        <w:pStyle w:val="ListParagraph"/>
        <w:numPr>
          <w:ilvl w:val="0"/>
          <w:numId w:val="14"/>
        </w:numPr>
        <w:jc w:val="both"/>
        <w:rPr>
          <w:rFonts w:asciiTheme="minorHAnsi" w:hAnsiTheme="minorHAnsi" w:cs="Calibri"/>
          <w:sz w:val="28"/>
          <w:szCs w:val="28"/>
        </w:rPr>
      </w:pPr>
      <w:r>
        <w:rPr>
          <w:rFonts w:asciiTheme="minorHAnsi" w:hAnsiTheme="minorHAnsi" w:cs="Calibri"/>
          <w:sz w:val="28"/>
          <w:szCs w:val="28"/>
        </w:rPr>
        <w:t>Inclusion</w:t>
      </w:r>
    </w:p>
    <w:p w14:paraId="0622939A" w14:textId="77777777" w:rsidR="001D70F0" w:rsidRPr="001D70F0" w:rsidRDefault="001D70F0" w:rsidP="00ED65A3">
      <w:pPr>
        <w:autoSpaceDE w:val="0"/>
        <w:autoSpaceDN w:val="0"/>
        <w:adjustRightInd w:val="0"/>
        <w:jc w:val="both"/>
        <w:rPr>
          <w:rFonts w:asciiTheme="minorHAnsi" w:hAnsiTheme="minorHAnsi" w:cs="Calibri"/>
          <w:sz w:val="28"/>
          <w:szCs w:val="28"/>
          <w:lang w:eastAsia="en-GB"/>
        </w:rPr>
      </w:pPr>
    </w:p>
    <w:p w14:paraId="350FCB2F" w14:textId="7717FC22" w:rsidR="00E82D8D" w:rsidRPr="00ED65A3" w:rsidRDefault="00E82D8D" w:rsidP="00ED65A3">
      <w:pPr>
        <w:autoSpaceDE w:val="0"/>
        <w:autoSpaceDN w:val="0"/>
        <w:adjustRightInd w:val="0"/>
        <w:jc w:val="both"/>
        <w:rPr>
          <w:rFonts w:asciiTheme="minorHAnsi" w:hAnsiTheme="minorHAnsi" w:cs="Calibri"/>
          <w:sz w:val="28"/>
          <w:szCs w:val="28"/>
          <w:lang w:eastAsia="en-GB"/>
        </w:rPr>
      </w:pPr>
      <w:r w:rsidRPr="00ED65A3">
        <w:rPr>
          <w:rFonts w:asciiTheme="minorHAnsi" w:hAnsiTheme="minorHAnsi" w:cs="Calibri"/>
          <w:sz w:val="28"/>
          <w:szCs w:val="28"/>
          <w:lang w:eastAsia="en-GB"/>
        </w:rPr>
        <w:t>The provider should also make information about their offer</w:t>
      </w:r>
      <w:r w:rsidR="005F7ABD">
        <w:rPr>
          <w:rFonts w:asciiTheme="minorHAnsi" w:hAnsiTheme="minorHAnsi" w:cs="Calibri"/>
          <w:sz w:val="28"/>
          <w:szCs w:val="28"/>
          <w:lang w:eastAsia="en-GB"/>
        </w:rPr>
        <w:t xml:space="preserve">, </w:t>
      </w:r>
      <w:proofErr w:type="gramStart"/>
      <w:r w:rsidR="005F7ABD">
        <w:rPr>
          <w:rFonts w:asciiTheme="minorHAnsi" w:hAnsiTheme="minorHAnsi" w:cs="Calibri"/>
          <w:sz w:val="28"/>
          <w:szCs w:val="28"/>
          <w:lang w:eastAsia="en-GB"/>
        </w:rPr>
        <w:t>fees</w:t>
      </w:r>
      <w:proofErr w:type="gramEnd"/>
      <w:r w:rsidR="005F7ABD">
        <w:rPr>
          <w:rFonts w:asciiTheme="minorHAnsi" w:hAnsiTheme="minorHAnsi" w:cs="Calibri"/>
          <w:sz w:val="28"/>
          <w:szCs w:val="28"/>
          <w:lang w:eastAsia="en-GB"/>
        </w:rPr>
        <w:t xml:space="preserve"> </w:t>
      </w:r>
      <w:r w:rsidRPr="00ED65A3">
        <w:rPr>
          <w:rFonts w:asciiTheme="minorHAnsi" w:hAnsiTheme="minorHAnsi" w:cs="Calibri"/>
          <w:sz w:val="28"/>
          <w:szCs w:val="28"/>
          <w:lang w:eastAsia="en-GB"/>
        </w:rPr>
        <w:t>and admissions criteria available to parents/carers at the point the child first accesses provision at their setting.</w:t>
      </w:r>
    </w:p>
    <w:p w14:paraId="5A1081FD" w14:textId="77777777" w:rsidR="00F95C5B" w:rsidRDefault="00F95C5B" w:rsidP="00F95C5B">
      <w:pPr>
        <w:rPr>
          <w:rFonts w:asciiTheme="minorHAnsi" w:hAnsiTheme="minorHAnsi" w:cs="Calibri"/>
          <w:b/>
          <w:sz w:val="28"/>
          <w:szCs w:val="28"/>
          <w:lang w:val="en-GB" w:eastAsia="en-GB"/>
        </w:rPr>
      </w:pPr>
      <w:r>
        <w:rPr>
          <w:rFonts w:asciiTheme="minorHAnsi" w:hAnsiTheme="minorHAnsi" w:cs="Calibri"/>
          <w:b/>
          <w:sz w:val="28"/>
          <w:szCs w:val="28"/>
          <w:lang w:val="en-GB" w:eastAsia="en-GB"/>
        </w:rPr>
        <w:lastRenderedPageBreak/>
        <w:t>Local Authority Funding Agreement</w:t>
      </w:r>
    </w:p>
    <w:p w14:paraId="4657B08F" w14:textId="2CBB27E3" w:rsidR="00F95C5B" w:rsidRDefault="00F95C5B" w:rsidP="00F95C5B">
      <w:pPr>
        <w:jc w:val="both"/>
        <w:rPr>
          <w:rFonts w:asciiTheme="minorHAnsi" w:hAnsiTheme="minorHAnsi" w:cs="Calibri"/>
          <w:sz w:val="28"/>
          <w:szCs w:val="28"/>
          <w:lang w:val="en-GB" w:eastAsia="en-GB"/>
        </w:rPr>
      </w:pPr>
      <w:r w:rsidRPr="00ED4774">
        <w:rPr>
          <w:rFonts w:asciiTheme="minorHAnsi" w:hAnsiTheme="minorHAnsi" w:cs="Calibri"/>
          <w:sz w:val="28"/>
          <w:szCs w:val="28"/>
          <w:lang w:val="en-GB" w:eastAsia="en-GB"/>
        </w:rPr>
        <w:t xml:space="preserve">When opting to offer Early Education to families in Norfolk, it will be necessary to have a Local Authority Funding Agreement in place.  Additional documentation is also required </w:t>
      </w:r>
      <w:r>
        <w:rPr>
          <w:rFonts w:asciiTheme="minorHAnsi" w:hAnsiTheme="minorHAnsi" w:cs="Calibri"/>
          <w:sz w:val="28"/>
          <w:szCs w:val="28"/>
          <w:lang w:val="en-GB" w:eastAsia="en-GB"/>
        </w:rPr>
        <w:t>as part of this agreement which includes an Admissions Policy</w:t>
      </w:r>
      <w:r w:rsidRPr="00ED4774">
        <w:rPr>
          <w:rFonts w:asciiTheme="minorHAnsi" w:hAnsiTheme="minorHAnsi" w:cs="Calibri"/>
          <w:sz w:val="28"/>
          <w:szCs w:val="28"/>
          <w:lang w:val="en-GB" w:eastAsia="en-GB"/>
        </w:rPr>
        <w:t>.</w:t>
      </w:r>
    </w:p>
    <w:p w14:paraId="2D1D3C23" w14:textId="77777777" w:rsidR="00F95C5B" w:rsidRDefault="00F95C5B" w:rsidP="00F95C5B">
      <w:pPr>
        <w:jc w:val="both"/>
        <w:rPr>
          <w:rFonts w:asciiTheme="minorHAnsi" w:hAnsiTheme="minorHAnsi" w:cs="Calibri"/>
          <w:sz w:val="28"/>
          <w:szCs w:val="28"/>
          <w:lang w:val="en-GB" w:eastAsia="en-GB"/>
        </w:rPr>
      </w:pPr>
    </w:p>
    <w:p w14:paraId="5598CA8E" w14:textId="77777777" w:rsidR="00F95C5B" w:rsidRDefault="00F95C5B" w:rsidP="00F95C5B">
      <w:pPr>
        <w:jc w:val="both"/>
        <w:rPr>
          <w:rFonts w:asciiTheme="minorHAnsi" w:hAnsiTheme="minorHAnsi" w:cs="Calibri"/>
          <w:sz w:val="28"/>
          <w:szCs w:val="28"/>
          <w:lang w:val="en-GB" w:eastAsia="en-GB"/>
        </w:rPr>
      </w:pPr>
      <w:r>
        <w:rPr>
          <w:rFonts w:asciiTheme="minorHAnsi" w:hAnsiTheme="minorHAnsi" w:cs="Calibri"/>
          <w:sz w:val="28"/>
          <w:szCs w:val="28"/>
          <w:lang w:val="en-GB" w:eastAsia="en-GB"/>
        </w:rPr>
        <w:t>To meet the terms of the agreement the following must be included in your policy.</w:t>
      </w:r>
    </w:p>
    <w:tbl>
      <w:tblPr>
        <w:tblStyle w:val="TableGrid"/>
        <w:tblW w:w="10627" w:type="dxa"/>
        <w:tblLook w:val="04A0" w:firstRow="1" w:lastRow="0" w:firstColumn="1" w:lastColumn="0" w:noHBand="0" w:noVBand="1"/>
      </w:tblPr>
      <w:tblGrid>
        <w:gridCol w:w="812"/>
        <w:gridCol w:w="4906"/>
        <w:gridCol w:w="4909"/>
      </w:tblGrid>
      <w:tr w:rsidR="00F95C5B" w14:paraId="00B335C3" w14:textId="77777777" w:rsidTr="00F95C5B">
        <w:tc>
          <w:tcPr>
            <w:tcW w:w="5708" w:type="dxa"/>
            <w:gridSpan w:val="2"/>
            <w:tcBorders>
              <w:top w:val="single" w:sz="4" w:space="0" w:color="auto"/>
              <w:left w:val="single" w:sz="4" w:space="0" w:color="auto"/>
              <w:bottom w:val="single" w:sz="4" w:space="0" w:color="auto"/>
              <w:right w:val="single" w:sz="4" w:space="0" w:color="auto"/>
            </w:tcBorders>
            <w:shd w:val="clear" w:color="auto" w:fill="auto"/>
          </w:tcPr>
          <w:p w14:paraId="3E1ACB77" w14:textId="2FE8BC75" w:rsidR="00F95C5B" w:rsidRPr="00F95C5B" w:rsidRDefault="00F95C5B" w:rsidP="00F95C5B">
            <w:pPr>
              <w:ind w:right="108"/>
              <w:jc w:val="both"/>
              <w:rPr>
                <w:rFonts w:asciiTheme="minorHAnsi" w:hAnsiTheme="minorHAnsi"/>
              </w:rPr>
            </w:pPr>
            <w:r w:rsidRPr="00F95C5B">
              <w:rPr>
                <w:rFonts w:asciiTheme="minorHAnsi" w:hAnsiTheme="minorHAnsi"/>
                <w:b/>
              </w:rPr>
              <w:t>Agreement Requirement</w:t>
            </w:r>
          </w:p>
        </w:tc>
        <w:tc>
          <w:tcPr>
            <w:tcW w:w="4919" w:type="dxa"/>
            <w:tcBorders>
              <w:top w:val="single" w:sz="4" w:space="0" w:color="auto"/>
              <w:left w:val="single" w:sz="4" w:space="0" w:color="auto"/>
              <w:bottom w:val="single" w:sz="4" w:space="0" w:color="auto"/>
              <w:right w:val="single" w:sz="4" w:space="0" w:color="auto"/>
            </w:tcBorders>
          </w:tcPr>
          <w:p w14:paraId="0E929B51" w14:textId="77777777" w:rsidR="00F95C5B" w:rsidRPr="00F95C5B" w:rsidRDefault="00F95C5B" w:rsidP="00F95C5B">
            <w:pPr>
              <w:ind w:right="108"/>
              <w:jc w:val="both"/>
              <w:rPr>
                <w:rFonts w:asciiTheme="minorHAnsi" w:hAnsiTheme="minorHAnsi"/>
                <w:b/>
              </w:rPr>
            </w:pPr>
            <w:r w:rsidRPr="00F95C5B">
              <w:rPr>
                <w:rFonts w:asciiTheme="minorHAnsi" w:hAnsiTheme="minorHAnsi"/>
                <w:b/>
              </w:rPr>
              <w:t>Suggested Wording</w:t>
            </w:r>
          </w:p>
          <w:p w14:paraId="24FC5E1D" w14:textId="295D187E" w:rsidR="00F95C5B" w:rsidRPr="00F95C5B" w:rsidRDefault="00F95C5B" w:rsidP="00F95C5B">
            <w:pPr>
              <w:ind w:right="108"/>
              <w:jc w:val="both"/>
              <w:rPr>
                <w:rFonts w:asciiTheme="minorHAnsi" w:hAnsiTheme="minorHAnsi"/>
              </w:rPr>
            </w:pPr>
            <w:r w:rsidRPr="00F95C5B">
              <w:rPr>
                <w:rFonts w:asciiTheme="minorHAnsi" w:hAnsiTheme="minorHAnsi"/>
              </w:rPr>
              <w:t>(please insert detail where the text is highlighted red)</w:t>
            </w:r>
          </w:p>
        </w:tc>
      </w:tr>
      <w:tr w:rsidR="00F95C5B" w14:paraId="5B929537" w14:textId="77777777" w:rsidTr="00F95C5B">
        <w:tc>
          <w:tcPr>
            <w:tcW w:w="790" w:type="dxa"/>
            <w:tcBorders>
              <w:top w:val="single" w:sz="4" w:space="0" w:color="auto"/>
              <w:left w:val="single" w:sz="4" w:space="0" w:color="auto"/>
              <w:bottom w:val="single" w:sz="4" w:space="0" w:color="auto"/>
              <w:right w:val="single" w:sz="4" w:space="0" w:color="auto"/>
            </w:tcBorders>
            <w:shd w:val="clear" w:color="auto" w:fill="auto"/>
          </w:tcPr>
          <w:p w14:paraId="1EBE2477" w14:textId="77777777" w:rsidR="00F95C5B" w:rsidRPr="00F95C5B" w:rsidRDefault="00F95C5B" w:rsidP="007C4C5D">
            <w:pPr>
              <w:ind w:right="108"/>
              <w:jc w:val="both"/>
              <w:rPr>
                <w:rFonts w:asciiTheme="minorHAnsi" w:hAnsiTheme="minorHAnsi"/>
              </w:rPr>
            </w:pPr>
            <w:r w:rsidRPr="00F95C5B">
              <w:rPr>
                <w:rFonts w:asciiTheme="minorHAnsi" w:hAnsiTheme="minorHAnsi"/>
                <w:b/>
              </w:rPr>
              <w:t>[2.14]</w:t>
            </w:r>
          </w:p>
          <w:p w14:paraId="7F899E6D" w14:textId="77777777" w:rsidR="00F95C5B" w:rsidRPr="00F95C5B" w:rsidRDefault="00F95C5B" w:rsidP="007C4C5D">
            <w:pPr>
              <w:rPr>
                <w:rFonts w:asciiTheme="minorHAnsi" w:hAnsiTheme="minorHAnsi"/>
              </w:rPr>
            </w:pP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2FB745A1" w14:textId="77777777" w:rsidR="00FD72E0" w:rsidRPr="00EF6026" w:rsidRDefault="00FD72E0" w:rsidP="00FD72E0">
            <w:pPr>
              <w:ind w:right="108"/>
              <w:jc w:val="both"/>
              <w:rPr>
                <w:rFonts w:ascii="Calibri" w:hAnsi="Calibri"/>
              </w:rPr>
            </w:pPr>
            <w:r w:rsidRPr="00EF6026">
              <w:rPr>
                <w:rFonts w:ascii="Calibri" w:hAnsi="Calibri"/>
              </w:rPr>
              <w:t xml:space="preserve">The provider should check original copies of documentation to confirm a child has reached the relevant age on initial registration for all free entitlements. The provider can retain paper or digital copies of documentation to enable the local authority to carry out audits and fraud investigations. Where a provider retains a copy of documentation this must be stored securely and deleted when there is no longer a good reason to keep the data. </w:t>
            </w:r>
          </w:p>
          <w:p w14:paraId="6DF0BB8B" w14:textId="77777777" w:rsidR="00F95C5B" w:rsidRPr="00EF6026" w:rsidRDefault="00F95C5B" w:rsidP="007C4C5D">
            <w:pPr>
              <w:rPr>
                <w:rFonts w:asciiTheme="minorHAnsi" w:hAnsiTheme="minorHAnsi"/>
              </w:rPr>
            </w:pPr>
          </w:p>
        </w:tc>
        <w:tc>
          <w:tcPr>
            <w:tcW w:w="4919" w:type="dxa"/>
            <w:tcBorders>
              <w:top w:val="single" w:sz="4" w:space="0" w:color="auto"/>
              <w:left w:val="single" w:sz="4" w:space="0" w:color="auto"/>
              <w:bottom w:val="single" w:sz="4" w:space="0" w:color="auto"/>
              <w:right w:val="single" w:sz="4" w:space="0" w:color="auto"/>
            </w:tcBorders>
          </w:tcPr>
          <w:p w14:paraId="2BF7C6CE" w14:textId="78941CAC" w:rsidR="00F95C5B" w:rsidRPr="00EF6026" w:rsidRDefault="00192990" w:rsidP="002136A6">
            <w:pPr>
              <w:ind w:right="108"/>
              <w:jc w:val="both"/>
              <w:rPr>
                <w:rFonts w:ascii="Calibri" w:hAnsi="Calibri"/>
              </w:rPr>
            </w:pPr>
            <w:r w:rsidRPr="00EF6026">
              <w:rPr>
                <w:rFonts w:ascii="Calibri" w:hAnsi="Calibri"/>
              </w:rPr>
              <w:t>As part of the registration process, parents/carers will be required to provide documentation to evidence their child’s date of birth. This is to confirm they have reached the eligible age for the funded entitlement.  A copy will not be retained but may be requested again later by the Local Authority for audit or fraud investigation purposes.</w:t>
            </w:r>
          </w:p>
        </w:tc>
      </w:tr>
      <w:tr w:rsidR="00F95C5B" w14:paraId="17C7E233" w14:textId="77777777" w:rsidTr="00524ED5">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21734AA8" w14:textId="7ADEBB6D" w:rsidR="00F95C5B" w:rsidRPr="00F95C5B" w:rsidRDefault="00F95C5B" w:rsidP="007C4C5D">
            <w:pPr>
              <w:ind w:right="108"/>
              <w:jc w:val="both"/>
              <w:rPr>
                <w:rFonts w:asciiTheme="minorHAnsi" w:hAnsiTheme="minorHAnsi"/>
              </w:rPr>
            </w:pPr>
            <w:r w:rsidRPr="00F95C5B">
              <w:rPr>
                <w:rFonts w:asciiTheme="minorHAnsi" w:hAnsiTheme="minorHAnsi"/>
                <w:b/>
              </w:rPr>
              <w:t>[2.</w:t>
            </w:r>
            <w:r w:rsidR="00190053">
              <w:rPr>
                <w:rFonts w:asciiTheme="minorHAnsi" w:hAnsiTheme="minorHAnsi"/>
                <w:b/>
              </w:rPr>
              <w:t>1</w:t>
            </w:r>
            <w:r w:rsidRPr="00F95C5B">
              <w:rPr>
                <w:rFonts w:asciiTheme="minorHAnsi" w:hAnsiTheme="minorHAnsi"/>
                <w:b/>
              </w:rPr>
              <w:t>5]</w:t>
            </w:r>
            <w:r w:rsidRPr="00F95C5B">
              <w:rPr>
                <w:rFonts w:asciiTheme="minorHAnsi" w:hAnsiTheme="minorHAnsi"/>
              </w:rPr>
              <w:t xml:space="preserve"> </w:t>
            </w: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44B44DA4" w14:textId="77777777" w:rsidR="00CE1DDE" w:rsidRPr="00EF6026" w:rsidRDefault="00CE1DDE" w:rsidP="00CE1DDE">
            <w:pPr>
              <w:ind w:right="108"/>
              <w:jc w:val="both"/>
              <w:rPr>
                <w:rFonts w:ascii="Calibri" w:hAnsi="Calibri"/>
              </w:rPr>
            </w:pPr>
            <w:r w:rsidRPr="00EF6026">
              <w:rPr>
                <w:rFonts w:ascii="Calibri" w:hAnsi="Calibri"/>
              </w:rPr>
              <w:t>The provider should offer disadvantaged 2-year-old places</w:t>
            </w:r>
            <w:r w:rsidRPr="00EF6026" w:rsidDel="00102136">
              <w:rPr>
                <w:rFonts w:ascii="Calibri" w:hAnsi="Calibri"/>
              </w:rPr>
              <w:t xml:space="preserve"> </w:t>
            </w:r>
            <w:r w:rsidRPr="00EF6026">
              <w:rPr>
                <w:rFonts w:ascii="Calibri" w:hAnsi="Calibri"/>
              </w:rPr>
              <w:t xml:space="preserve">on the understanding that the child remains eligible until they become eligible for the universal entitlement </w:t>
            </w:r>
            <w:r w:rsidRPr="00EF6026" w:rsidDel="00923D32">
              <w:rPr>
                <w:rFonts w:ascii="Calibri" w:hAnsi="Calibri"/>
              </w:rPr>
              <w:t xml:space="preserve">for </w:t>
            </w:r>
            <w:r w:rsidRPr="00EF6026">
              <w:rPr>
                <w:rFonts w:ascii="Calibri" w:hAnsi="Calibri"/>
              </w:rPr>
              <w:t>3-</w:t>
            </w:r>
            <w:r w:rsidRPr="00EF6026" w:rsidDel="00923D32">
              <w:rPr>
                <w:rFonts w:ascii="Calibri" w:hAnsi="Calibri"/>
              </w:rPr>
              <w:t xml:space="preserve"> </w:t>
            </w:r>
            <w:r w:rsidRPr="00EF6026">
              <w:rPr>
                <w:rFonts w:ascii="Calibri" w:hAnsi="Calibri"/>
              </w:rPr>
              <w:t>an</w:t>
            </w:r>
            <w:r w:rsidRPr="00EF6026" w:rsidDel="00923D32">
              <w:rPr>
                <w:rFonts w:ascii="Calibri" w:hAnsi="Calibri"/>
              </w:rPr>
              <w:t xml:space="preserve">d </w:t>
            </w:r>
            <w:r w:rsidRPr="00EF6026">
              <w:rPr>
                <w:rFonts w:ascii="Calibri" w:hAnsi="Calibri"/>
              </w:rPr>
              <w:t xml:space="preserve">4- </w:t>
            </w:r>
            <w:r w:rsidRPr="00EF6026" w:rsidDel="00923D32">
              <w:rPr>
                <w:rFonts w:ascii="Calibri" w:hAnsi="Calibri"/>
              </w:rPr>
              <w:t>year</w:t>
            </w:r>
            <w:r w:rsidRPr="00EF6026">
              <w:rPr>
                <w:rFonts w:ascii="Calibri" w:hAnsi="Calibri"/>
              </w:rPr>
              <w:t>-</w:t>
            </w:r>
            <w:r w:rsidRPr="00EF6026" w:rsidDel="00923D32">
              <w:rPr>
                <w:rFonts w:ascii="Calibri" w:hAnsi="Calibri"/>
              </w:rPr>
              <w:t>olds.</w:t>
            </w:r>
          </w:p>
          <w:p w14:paraId="328FFB27" w14:textId="2024CB36" w:rsidR="00F95C5B" w:rsidRPr="00EF6026" w:rsidRDefault="00F95C5B" w:rsidP="00524ED5">
            <w:pPr>
              <w:pStyle w:val="Default"/>
              <w:rPr>
                <w:rFonts w:asciiTheme="minorHAnsi" w:hAnsiTheme="minorHAnsi" w:cs="Times New Roman"/>
                <w:color w:val="auto"/>
                <w:sz w:val="20"/>
                <w:szCs w:val="20"/>
              </w:rPr>
            </w:pPr>
          </w:p>
        </w:tc>
        <w:tc>
          <w:tcPr>
            <w:tcW w:w="4919" w:type="dxa"/>
            <w:tcBorders>
              <w:top w:val="single" w:sz="4" w:space="0" w:color="auto"/>
              <w:left w:val="single" w:sz="4" w:space="0" w:color="auto"/>
              <w:bottom w:val="single" w:sz="4" w:space="0" w:color="auto"/>
              <w:right w:val="single" w:sz="4" w:space="0" w:color="auto"/>
            </w:tcBorders>
          </w:tcPr>
          <w:p w14:paraId="1C1E805C" w14:textId="77777777" w:rsidR="007637B7" w:rsidRPr="00EF6026" w:rsidRDefault="007637B7" w:rsidP="00FD72E0">
            <w:pPr>
              <w:ind w:right="108"/>
              <w:jc w:val="both"/>
              <w:rPr>
                <w:rFonts w:ascii="Calibri" w:hAnsi="Calibri"/>
              </w:rPr>
            </w:pPr>
            <w:r w:rsidRPr="00EF6026">
              <w:rPr>
                <w:rFonts w:ascii="Calibri" w:hAnsi="Calibri"/>
              </w:rPr>
              <w:t>Families accepting a 2-year-old funded place will be able to claim the entitlement until their child(ren) is/are eligible for either the 3- and 4-year-old funding universal entitlement or working parent entitlement.</w:t>
            </w:r>
          </w:p>
          <w:p w14:paraId="2114031B" w14:textId="77777777" w:rsidR="00F95C5B" w:rsidRPr="00EF6026" w:rsidRDefault="00F95C5B" w:rsidP="00FD72E0">
            <w:pPr>
              <w:ind w:right="108"/>
              <w:rPr>
                <w:rFonts w:ascii="Calibri" w:hAnsi="Calibri"/>
              </w:rPr>
            </w:pPr>
          </w:p>
        </w:tc>
      </w:tr>
      <w:tr w:rsidR="00F95C5B" w14:paraId="6A93329F" w14:textId="77777777" w:rsidTr="00F95C5B">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6A3D8BA0" w14:textId="2A13909A" w:rsidR="00F95C5B" w:rsidRPr="00F95C5B" w:rsidRDefault="00F95C5B" w:rsidP="007C4C5D">
            <w:pPr>
              <w:ind w:right="108"/>
              <w:jc w:val="both"/>
              <w:rPr>
                <w:rFonts w:asciiTheme="minorHAnsi" w:hAnsiTheme="minorHAnsi"/>
              </w:rPr>
            </w:pPr>
            <w:r w:rsidRPr="00F95C5B">
              <w:rPr>
                <w:rFonts w:asciiTheme="minorHAnsi" w:hAnsiTheme="minorHAnsi"/>
                <w:b/>
              </w:rPr>
              <w:t>[2.2</w:t>
            </w:r>
            <w:r w:rsidR="00190053">
              <w:rPr>
                <w:rFonts w:asciiTheme="minorHAnsi" w:hAnsiTheme="minorHAnsi"/>
                <w:b/>
              </w:rPr>
              <w:t>5</w:t>
            </w:r>
            <w:r w:rsidRPr="00F95C5B">
              <w:rPr>
                <w:rFonts w:asciiTheme="minorHAnsi" w:hAnsiTheme="minorHAnsi"/>
                <w:b/>
              </w:rPr>
              <w:t>]</w:t>
            </w: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36B6A0B9" w14:textId="77777777" w:rsidR="00F0194D" w:rsidRPr="00EF6026" w:rsidRDefault="00F0194D" w:rsidP="00F0194D">
            <w:pPr>
              <w:ind w:right="108"/>
              <w:jc w:val="both"/>
              <w:rPr>
                <w:rFonts w:ascii="Calibri" w:hAnsi="Calibri"/>
              </w:rPr>
            </w:pPr>
            <w:r w:rsidRPr="00EF6026">
              <w:rPr>
                <w:rFonts w:ascii="Calibri" w:hAnsi="Calibri"/>
              </w:rPr>
              <w:t xml:space="preserve">Provision must be offered within the national parameters on flexibility as set out in Section A2 of Early Education and Childcare </w:t>
            </w:r>
            <w:hyperlink r:id="rId7" w:history="1">
              <w:r w:rsidRPr="00EF6026">
                <w:rPr>
                  <w:rFonts w:ascii="Calibri" w:hAnsi="Calibri"/>
                </w:rPr>
                <w:t>Statutory guidance for Local Authorities</w:t>
              </w:r>
            </w:hyperlink>
            <w:r w:rsidRPr="00EF6026">
              <w:rPr>
                <w:rFonts w:ascii="Calibri" w:hAnsi="Calibri"/>
              </w:rPr>
              <w:t>.</w:t>
            </w:r>
          </w:p>
          <w:p w14:paraId="030E4345" w14:textId="77777777" w:rsidR="00F95C5B" w:rsidRPr="00EF6026" w:rsidRDefault="00F95C5B" w:rsidP="007C4C5D">
            <w:pPr>
              <w:rPr>
                <w:rFonts w:asciiTheme="minorHAnsi" w:hAnsiTheme="minorHAnsi"/>
              </w:rPr>
            </w:pPr>
          </w:p>
        </w:tc>
        <w:tc>
          <w:tcPr>
            <w:tcW w:w="4919" w:type="dxa"/>
            <w:tcBorders>
              <w:top w:val="single" w:sz="4" w:space="0" w:color="auto"/>
              <w:left w:val="single" w:sz="4" w:space="0" w:color="auto"/>
              <w:bottom w:val="single" w:sz="4" w:space="0" w:color="auto"/>
              <w:right w:val="single" w:sz="4" w:space="0" w:color="auto"/>
            </w:tcBorders>
          </w:tcPr>
          <w:p w14:paraId="7DDB8992" w14:textId="77777777" w:rsidR="00C6610E" w:rsidRPr="00EF6026" w:rsidRDefault="00C6610E" w:rsidP="00FD72E0">
            <w:pPr>
              <w:ind w:right="108"/>
              <w:jc w:val="both"/>
              <w:rPr>
                <w:rFonts w:ascii="Calibri" w:hAnsi="Calibri"/>
              </w:rPr>
            </w:pPr>
            <w:r w:rsidRPr="00EF6026">
              <w:rPr>
                <w:rFonts w:ascii="Calibri" w:hAnsi="Calibri"/>
              </w:rPr>
              <w:t xml:space="preserve">Early Education is offered within the national parameters – </w:t>
            </w:r>
          </w:p>
          <w:p w14:paraId="6A39A352" w14:textId="77777777" w:rsidR="00C6610E" w:rsidRPr="00EF6026" w:rsidRDefault="00C6610E" w:rsidP="000B784B">
            <w:pPr>
              <w:pStyle w:val="Default"/>
              <w:numPr>
                <w:ilvl w:val="0"/>
                <w:numId w:val="20"/>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 xml:space="preserve">no session to be longer than 10 </w:t>
            </w:r>
            <w:proofErr w:type="gramStart"/>
            <w:r w:rsidRPr="00EF6026">
              <w:rPr>
                <w:rFonts w:ascii="Calibri" w:hAnsi="Calibri" w:cs="Times New Roman"/>
                <w:color w:val="auto"/>
                <w:sz w:val="20"/>
                <w:szCs w:val="20"/>
                <w:lang w:val="en-US" w:eastAsia="en-US"/>
              </w:rPr>
              <w:t>hours</w:t>
            </w:r>
            <w:proofErr w:type="gramEnd"/>
            <w:r w:rsidRPr="00EF6026">
              <w:rPr>
                <w:rFonts w:ascii="Calibri" w:hAnsi="Calibri" w:cs="Times New Roman"/>
                <w:color w:val="auto"/>
                <w:sz w:val="20"/>
                <w:szCs w:val="20"/>
                <w:lang w:val="en-US" w:eastAsia="en-US"/>
              </w:rPr>
              <w:t xml:space="preserve"> </w:t>
            </w:r>
          </w:p>
          <w:p w14:paraId="403B6651" w14:textId="77777777" w:rsidR="00C6610E" w:rsidRPr="00EF6026" w:rsidRDefault="00C6610E" w:rsidP="000B784B">
            <w:pPr>
              <w:pStyle w:val="Default"/>
              <w:numPr>
                <w:ilvl w:val="0"/>
                <w:numId w:val="20"/>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 xml:space="preserve">no minimum session length (subject to the requirements of registration on the Ofsted Early Years Register) </w:t>
            </w:r>
          </w:p>
          <w:p w14:paraId="41D10FFC" w14:textId="77777777" w:rsidR="00C6610E" w:rsidRPr="00EF6026" w:rsidRDefault="00C6610E" w:rsidP="000B784B">
            <w:pPr>
              <w:pStyle w:val="Default"/>
              <w:numPr>
                <w:ilvl w:val="0"/>
                <w:numId w:val="20"/>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 xml:space="preserve">not before 6.00am or after 8.00pm </w:t>
            </w:r>
          </w:p>
          <w:p w14:paraId="0C5F193B" w14:textId="77777777" w:rsidR="00C6610E" w:rsidRPr="00EF6026" w:rsidRDefault="00C6610E" w:rsidP="000B784B">
            <w:pPr>
              <w:pStyle w:val="Default"/>
              <w:numPr>
                <w:ilvl w:val="0"/>
                <w:numId w:val="20"/>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 xml:space="preserve">a maximum of two sites in a single day </w:t>
            </w:r>
          </w:p>
          <w:p w14:paraId="4A278E84" w14:textId="502530FD" w:rsidR="00F95C5B" w:rsidRPr="00EF6026" w:rsidRDefault="00F95C5B" w:rsidP="00FD72E0">
            <w:pPr>
              <w:ind w:right="108"/>
              <w:jc w:val="both"/>
              <w:rPr>
                <w:rFonts w:ascii="Calibri" w:hAnsi="Calibri"/>
              </w:rPr>
            </w:pPr>
          </w:p>
        </w:tc>
      </w:tr>
      <w:tr w:rsidR="00F95C5B" w14:paraId="2A62855C" w14:textId="77777777" w:rsidTr="00F95C5B">
        <w:tc>
          <w:tcPr>
            <w:tcW w:w="790" w:type="dxa"/>
            <w:tcBorders>
              <w:top w:val="single" w:sz="4" w:space="0" w:color="auto"/>
              <w:left w:val="single" w:sz="4" w:space="0" w:color="auto"/>
              <w:bottom w:val="single" w:sz="4" w:space="0" w:color="auto"/>
              <w:right w:val="single" w:sz="4" w:space="0" w:color="auto"/>
            </w:tcBorders>
            <w:shd w:val="clear" w:color="auto" w:fill="auto"/>
          </w:tcPr>
          <w:p w14:paraId="2C09E158" w14:textId="5E974E51" w:rsidR="00F95C5B" w:rsidRPr="00F95C5B" w:rsidRDefault="00F95C5B" w:rsidP="007C4C5D">
            <w:pPr>
              <w:ind w:right="108"/>
              <w:jc w:val="both"/>
              <w:rPr>
                <w:rFonts w:asciiTheme="minorHAnsi" w:hAnsiTheme="minorHAnsi"/>
              </w:rPr>
            </w:pPr>
            <w:r w:rsidRPr="00F95C5B">
              <w:rPr>
                <w:rFonts w:asciiTheme="minorHAnsi" w:hAnsiTheme="minorHAnsi"/>
                <w:b/>
              </w:rPr>
              <w:t>[2.</w:t>
            </w:r>
            <w:r w:rsidR="008A2B5A">
              <w:rPr>
                <w:rFonts w:asciiTheme="minorHAnsi" w:hAnsiTheme="minorHAnsi"/>
                <w:b/>
              </w:rPr>
              <w:t>26</w:t>
            </w:r>
            <w:r w:rsidRPr="00F95C5B">
              <w:rPr>
                <w:rFonts w:asciiTheme="minorHAnsi" w:hAnsiTheme="minorHAnsi"/>
                <w:b/>
              </w:rPr>
              <w:t>]</w:t>
            </w:r>
          </w:p>
          <w:p w14:paraId="1216AFCF" w14:textId="77777777" w:rsidR="00F95C5B" w:rsidRPr="00F95C5B" w:rsidRDefault="00F95C5B" w:rsidP="007C4C5D">
            <w:pPr>
              <w:rPr>
                <w:rFonts w:asciiTheme="minorHAnsi" w:hAnsiTheme="minorHAnsi"/>
              </w:rPr>
            </w:pP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5FAB3420" w14:textId="77777777" w:rsidR="008A2B5A" w:rsidRPr="00EF6026" w:rsidRDefault="008A2B5A" w:rsidP="008A2B5A">
            <w:pPr>
              <w:ind w:right="108"/>
              <w:jc w:val="both"/>
              <w:rPr>
                <w:rFonts w:ascii="Calibri" w:hAnsi="Calibri"/>
              </w:rPr>
            </w:pPr>
            <w:r w:rsidRPr="00EF6026">
              <w:rPr>
                <w:rFonts w:ascii="Calibri" w:hAnsi="Calibri"/>
              </w:rPr>
              <w:t>The provider should work with the local authority and share information about the times and periods at which they are able to offer free entitlements to support the local authority to secure sufficient stretched and flexible places to meet parental demand in the local authority.</w:t>
            </w:r>
          </w:p>
          <w:p w14:paraId="7B7D7BF7" w14:textId="77777777" w:rsidR="00F95C5B" w:rsidRPr="00EF6026" w:rsidRDefault="00F95C5B" w:rsidP="007C6D56">
            <w:pPr>
              <w:ind w:right="108"/>
              <w:jc w:val="both"/>
              <w:rPr>
                <w:rFonts w:asciiTheme="minorHAnsi" w:hAnsiTheme="minorHAnsi"/>
              </w:rPr>
            </w:pPr>
          </w:p>
        </w:tc>
        <w:tc>
          <w:tcPr>
            <w:tcW w:w="4919" w:type="dxa"/>
            <w:tcBorders>
              <w:top w:val="single" w:sz="4" w:space="0" w:color="auto"/>
              <w:left w:val="single" w:sz="4" w:space="0" w:color="auto"/>
              <w:bottom w:val="single" w:sz="4" w:space="0" w:color="auto"/>
              <w:right w:val="single" w:sz="4" w:space="0" w:color="auto"/>
            </w:tcBorders>
          </w:tcPr>
          <w:p w14:paraId="62BD9842" w14:textId="37BE87B3" w:rsidR="00285425" w:rsidRPr="00EF6026" w:rsidRDefault="00285425" w:rsidP="00FD72E0">
            <w:pPr>
              <w:ind w:right="108"/>
              <w:jc w:val="both"/>
              <w:rPr>
                <w:rFonts w:ascii="Calibri" w:hAnsi="Calibri"/>
              </w:rPr>
            </w:pPr>
            <w:r w:rsidRPr="00EF6026">
              <w:rPr>
                <w:rFonts w:ascii="Calibri" w:hAnsi="Calibri"/>
              </w:rPr>
              <w:t xml:space="preserve">Early Education is offered to families </w:t>
            </w:r>
            <w:r w:rsidRPr="000B784B">
              <w:rPr>
                <w:rFonts w:ascii="Calibri" w:hAnsi="Calibri"/>
                <w:color w:val="FF0000"/>
              </w:rPr>
              <w:t>x</w:t>
            </w:r>
            <w:r w:rsidRPr="00EF6026">
              <w:rPr>
                <w:rFonts w:ascii="Calibri" w:hAnsi="Calibri"/>
              </w:rPr>
              <w:t xml:space="preserve"> weeks of the year.</w:t>
            </w:r>
          </w:p>
          <w:p w14:paraId="1E86F728" w14:textId="77777777" w:rsidR="00285425" w:rsidRPr="00EF6026" w:rsidRDefault="00285425" w:rsidP="00FD72E0">
            <w:pPr>
              <w:ind w:right="108"/>
              <w:jc w:val="both"/>
              <w:rPr>
                <w:rFonts w:ascii="Calibri" w:hAnsi="Calibri"/>
              </w:rPr>
            </w:pPr>
          </w:p>
          <w:p w14:paraId="3AC48642" w14:textId="77777777" w:rsidR="00285425" w:rsidRPr="00EF6026" w:rsidRDefault="00285425" w:rsidP="00FD72E0">
            <w:pPr>
              <w:ind w:right="108"/>
              <w:jc w:val="both"/>
              <w:rPr>
                <w:rFonts w:ascii="Calibri" w:hAnsi="Calibri"/>
              </w:rPr>
            </w:pPr>
            <w:r w:rsidRPr="00EF6026">
              <w:rPr>
                <w:rFonts w:ascii="Calibri" w:hAnsi="Calibri"/>
              </w:rPr>
              <w:t>Funded hours can be claimed –</w:t>
            </w:r>
          </w:p>
          <w:p w14:paraId="205F6BD1" w14:textId="77777777" w:rsidR="00285425" w:rsidRPr="000B784B" w:rsidRDefault="00285425" w:rsidP="000B784B">
            <w:pPr>
              <w:pStyle w:val="ListParagraph"/>
              <w:numPr>
                <w:ilvl w:val="0"/>
                <w:numId w:val="21"/>
              </w:numPr>
              <w:ind w:right="108"/>
              <w:jc w:val="both"/>
              <w:rPr>
                <w:rFonts w:ascii="Calibri" w:hAnsi="Calibri"/>
              </w:rPr>
            </w:pPr>
            <w:r w:rsidRPr="000B784B">
              <w:rPr>
                <w:rFonts w:ascii="Calibri" w:hAnsi="Calibri"/>
              </w:rPr>
              <w:t xml:space="preserve">Mon – max hours = </w:t>
            </w:r>
            <w:r w:rsidRPr="000B784B">
              <w:rPr>
                <w:rFonts w:ascii="Calibri" w:hAnsi="Calibri"/>
                <w:color w:val="FF0000"/>
              </w:rPr>
              <w:t>x</w:t>
            </w:r>
            <w:r w:rsidRPr="000B784B">
              <w:rPr>
                <w:rFonts w:ascii="Calibri" w:hAnsi="Calibri"/>
              </w:rPr>
              <w:t xml:space="preserve"> [</w:t>
            </w:r>
            <w:r w:rsidRPr="000B784B">
              <w:rPr>
                <w:rFonts w:ascii="Calibri" w:hAnsi="Calibri"/>
                <w:color w:val="FF0000"/>
              </w:rPr>
              <w:t>enter times</w:t>
            </w:r>
            <w:r w:rsidRPr="000B784B">
              <w:rPr>
                <w:rFonts w:ascii="Calibri" w:hAnsi="Calibri"/>
              </w:rPr>
              <w:t>]</w:t>
            </w:r>
          </w:p>
          <w:p w14:paraId="07B8029A" w14:textId="77777777" w:rsidR="00285425" w:rsidRPr="000B784B" w:rsidRDefault="00285425" w:rsidP="000B784B">
            <w:pPr>
              <w:pStyle w:val="ListParagraph"/>
              <w:numPr>
                <w:ilvl w:val="0"/>
                <w:numId w:val="21"/>
              </w:numPr>
              <w:ind w:right="108"/>
              <w:jc w:val="both"/>
              <w:rPr>
                <w:rFonts w:ascii="Calibri" w:hAnsi="Calibri"/>
              </w:rPr>
            </w:pPr>
            <w:r w:rsidRPr="000B784B">
              <w:rPr>
                <w:rFonts w:ascii="Calibri" w:hAnsi="Calibri"/>
              </w:rPr>
              <w:t xml:space="preserve">Tues – max hours = </w:t>
            </w:r>
            <w:r w:rsidRPr="000B784B">
              <w:rPr>
                <w:rFonts w:ascii="Calibri" w:hAnsi="Calibri"/>
                <w:color w:val="FF0000"/>
              </w:rPr>
              <w:t>x</w:t>
            </w:r>
            <w:r w:rsidRPr="000B784B">
              <w:rPr>
                <w:rFonts w:ascii="Calibri" w:hAnsi="Calibri"/>
              </w:rPr>
              <w:t xml:space="preserve"> [</w:t>
            </w:r>
            <w:r w:rsidRPr="000B784B">
              <w:rPr>
                <w:rFonts w:ascii="Calibri" w:hAnsi="Calibri"/>
                <w:color w:val="FF0000"/>
              </w:rPr>
              <w:t>enter times</w:t>
            </w:r>
            <w:r w:rsidRPr="000B784B">
              <w:rPr>
                <w:rFonts w:ascii="Calibri" w:hAnsi="Calibri"/>
              </w:rPr>
              <w:t>]</w:t>
            </w:r>
          </w:p>
          <w:p w14:paraId="394880F9" w14:textId="77777777" w:rsidR="00285425" w:rsidRPr="000B784B" w:rsidRDefault="00285425" w:rsidP="000B784B">
            <w:pPr>
              <w:pStyle w:val="ListParagraph"/>
              <w:numPr>
                <w:ilvl w:val="0"/>
                <w:numId w:val="21"/>
              </w:numPr>
              <w:ind w:right="108"/>
              <w:jc w:val="both"/>
              <w:rPr>
                <w:rFonts w:ascii="Calibri" w:hAnsi="Calibri"/>
              </w:rPr>
            </w:pPr>
            <w:r w:rsidRPr="000B784B">
              <w:rPr>
                <w:rFonts w:ascii="Calibri" w:hAnsi="Calibri"/>
              </w:rPr>
              <w:t xml:space="preserve">Wed – max hours = </w:t>
            </w:r>
            <w:r w:rsidRPr="000B784B">
              <w:rPr>
                <w:rFonts w:ascii="Calibri" w:hAnsi="Calibri"/>
                <w:color w:val="FF0000"/>
              </w:rPr>
              <w:t>x</w:t>
            </w:r>
            <w:r w:rsidRPr="000B784B">
              <w:rPr>
                <w:rFonts w:ascii="Calibri" w:hAnsi="Calibri"/>
              </w:rPr>
              <w:t xml:space="preserve"> [</w:t>
            </w:r>
            <w:r w:rsidRPr="000B784B">
              <w:rPr>
                <w:rFonts w:ascii="Calibri" w:hAnsi="Calibri"/>
                <w:color w:val="FF0000"/>
              </w:rPr>
              <w:t>enter times</w:t>
            </w:r>
            <w:r w:rsidRPr="000B784B">
              <w:rPr>
                <w:rFonts w:ascii="Calibri" w:hAnsi="Calibri"/>
              </w:rPr>
              <w:t>]</w:t>
            </w:r>
          </w:p>
          <w:p w14:paraId="2D889EAF" w14:textId="77777777" w:rsidR="00285425" w:rsidRPr="000B784B" w:rsidRDefault="00285425" w:rsidP="000B784B">
            <w:pPr>
              <w:pStyle w:val="ListParagraph"/>
              <w:numPr>
                <w:ilvl w:val="0"/>
                <w:numId w:val="21"/>
              </w:numPr>
              <w:ind w:right="108"/>
              <w:jc w:val="both"/>
              <w:rPr>
                <w:rFonts w:ascii="Calibri" w:hAnsi="Calibri"/>
              </w:rPr>
            </w:pPr>
            <w:proofErr w:type="spellStart"/>
            <w:r w:rsidRPr="000B784B">
              <w:rPr>
                <w:rFonts w:ascii="Calibri" w:hAnsi="Calibri"/>
              </w:rPr>
              <w:t>Thur</w:t>
            </w:r>
            <w:proofErr w:type="spellEnd"/>
            <w:r w:rsidRPr="000B784B">
              <w:rPr>
                <w:rFonts w:ascii="Calibri" w:hAnsi="Calibri"/>
              </w:rPr>
              <w:t xml:space="preserve"> – max hours = </w:t>
            </w:r>
            <w:r w:rsidRPr="000B784B">
              <w:rPr>
                <w:rFonts w:ascii="Calibri" w:hAnsi="Calibri"/>
                <w:color w:val="FF0000"/>
              </w:rPr>
              <w:t>x</w:t>
            </w:r>
            <w:r w:rsidRPr="000B784B">
              <w:rPr>
                <w:rFonts w:ascii="Calibri" w:hAnsi="Calibri"/>
              </w:rPr>
              <w:t xml:space="preserve"> [</w:t>
            </w:r>
            <w:r w:rsidRPr="000B784B">
              <w:rPr>
                <w:rFonts w:ascii="Calibri" w:hAnsi="Calibri"/>
                <w:color w:val="FF0000"/>
              </w:rPr>
              <w:t>enter times</w:t>
            </w:r>
            <w:r w:rsidRPr="000B784B">
              <w:rPr>
                <w:rFonts w:ascii="Calibri" w:hAnsi="Calibri"/>
              </w:rPr>
              <w:t>]</w:t>
            </w:r>
          </w:p>
          <w:p w14:paraId="6D3C6B53" w14:textId="77777777" w:rsidR="00285425" w:rsidRPr="000B784B" w:rsidRDefault="00285425" w:rsidP="000B784B">
            <w:pPr>
              <w:pStyle w:val="ListParagraph"/>
              <w:numPr>
                <w:ilvl w:val="0"/>
                <w:numId w:val="21"/>
              </w:numPr>
              <w:ind w:right="108"/>
              <w:jc w:val="both"/>
              <w:rPr>
                <w:rFonts w:ascii="Calibri" w:hAnsi="Calibri"/>
              </w:rPr>
            </w:pPr>
            <w:r w:rsidRPr="000B784B">
              <w:rPr>
                <w:rFonts w:ascii="Calibri" w:hAnsi="Calibri"/>
              </w:rPr>
              <w:t xml:space="preserve">Fri – max hours = </w:t>
            </w:r>
            <w:r w:rsidRPr="000B784B">
              <w:rPr>
                <w:rFonts w:ascii="Calibri" w:hAnsi="Calibri"/>
                <w:color w:val="FF0000"/>
              </w:rPr>
              <w:t>x</w:t>
            </w:r>
            <w:r w:rsidRPr="000B784B">
              <w:rPr>
                <w:rFonts w:ascii="Calibri" w:hAnsi="Calibri"/>
              </w:rPr>
              <w:t xml:space="preserve"> [</w:t>
            </w:r>
            <w:r w:rsidRPr="000B784B">
              <w:rPr>
                <w:rFonts w:ascii="Calibri" w:hAnsi="Calibri"/>
                <w:color w:val="FF0000"/>
              </w:rPr>
              <w:t>enter times</w:t>
            </w:r>
            <w:r w:rsidRPr="000B784B">
              <w:rPr>
                <w:rFonts w:ascii="Calibri" w:hAnsi="Calibri"/>
              </w:rPr>
              <w:t>]</w:t>
            </w:r>
          </w:p>
          <w:p w14:paraId="41EE417E" w14:textId="77777777" w:rsidR="00285425" w:rsidRPr="00EF6026" w:rsidRDefault="00285425" w:rsidP="00FD72E0">
            <w:pPr>
              <w:ind w:right="108"/>
              <w:jc w:val="both"/>
              <w:rPr>
                <w:rFonts w:ascii="Calibri" w:hAnsi="Calibri"/>
              </w:rPr>
            </w:pPr>
          </w:p>
          <w:p w14:paraId="6C535FCE" w14:textId="77777777" w:rsidR="00285425" w:rsidRPr="00914200" w:rsidRDefault="00285425" w:rsidP="00FD72E0">
            <w:pPr>
              <w:ind w:right="108"/>
              <w:jc w:val="both"/>
              <w:rPr>
                <w:rFonts w:ascii="Calibri" w:hAnsi="Calibri"/>
                <w:color w:val="FF0000"/>
              </w:rPr>
            </w:pPr>
            <w:r w:rsidRPr="00914200">
              <w:rPr>
                <w:rFonts w:ascii="Calibri" w:hAnsi="Calibri"/>
                <w:color w:val="FF0000"/>
              </w:rPr>
              <w:t>There are x fully funded places for families, these sessions are available –</w:t>
            </w:r>
          </w:p>
          <w:p w14:paraId="021353B9" w14:textId="77777777" w:rsidR="00325B83" w:rsidRPr="00914200" w:rsidRDefault="00325B83" w:rsidP="00325B83">
            <w:pPr>
              <w:pStyle w:val="ListParagraph"/>
              <w:numPr>
                <w:ilvl w:val="0"/>
                <w:numId w:val="21"/>
              </w:numPr>
              <w:ind w:right="108"/>
              <w:jc w:val="both"/>
              <w:rPr>
                <w:rFonts w:ascii="Calibri" w:hAnsi="Calibri"/>
                <w:color w:val="FF0000"/>
              </w:rPr>
            </w:pPr>
            <w:r w:rsidRPr="00914200">
              <w:rPr>
                <w:rFonts w:ascii="Calibri" w:hAnsi="Calibri"/>
                <w:color w:val="FF0000"/>
              </w:rPr>
              <w:t>Mon – max hours = x [enter times]</w:t>
            </w:r>
          </w:p>
          <w:p w14:paraId="3A7F86CC" w14:textId="77777777" w:rsidR="00325B83" w:rsidRPr="00914200" w:rsidRDefault="00325B83" w:rsidP="00325B83">
            <w:pPr>
              <w:pStyle w:val="ListParagraph"/>
              <w:numPr>
                <w:ilvl w:val="0"/>
                <w:numId w:val="21"/>
              </w:numPr>
              <w:ind w:right="108"/>
              <w:jc w:val="both"/>
              <w:rPr>
                <w:rFonts w:ascii="Calibri" w:hAnsi="Calibri"/>
                <w:color w:val="FF0000"/>
              </w:rPr>
            </w:pPr>
            <w:r w:rsidRPr="00914200">
              <w:rPr>
                <w:rFonts w:ascii="Calibri" w:hAnsi="Calibri"/>
                <w:color w:val="FF0000"/>
              </w:rPr>
              <w:t>Tues – max hours = x [enter times]</w:t>
            </w:r>
          </w:p>
          <w:p w14:paraId="4963087E" w14:textId="77777777" w:rsidR="00325B83" w:rsidRPr="00914200" w:rsidRDefault="00325B83" w:rsidP="00325B83">
            <w:pPr>
              <w:pStyle w:val="ListParagraph"/>
              <w:numPr>
                <w:ilvl w:val="0"/>
                <w:numId w:val="21"/>
              </w:numPr>
              <w:ind w:right="108"/>
              <w:jc w:val="both"/>
              <w:rPr>
                <w:rFonts w:ascii="Calibri" w:hAnsi="Calibri"/>
                <w:color w:val="FF0000"/>
              </w:rPr>
            </w:pPr>
            <w:r w:rsidRPr="00914200">
              <w:rPr>
                <w:rFonts w:ascii="Calibri" w:hAnsi="Calibri"/>
                <w:color w:val="FF0000"/>
              </w:rPr>
              <w:t>Wed – max hours = x [enter times]</w:t>
            </w:r>
          </w:p>
          <w:p w14:paraId="7749A615" w14:textId="77777777" w:rsidR="00325B83" w:rsidRPr="00914200" w:rsidRDefault="00325B83" w:rsidP="00325B83">
            <w:pPr>
              <w:pStyle w:val="ListParagraph"/>
              <w:numPr>
                <w:ilvl w:val="0"/>
                <w:numId w:val="21"/>
              </w:numPr>
              <w:ind w:right="108"/>
              <w:jc w:val="both"/>
              <w:rPr>
                <w:rFonts w:ascii="Calibri" w:hAnsi="Calibri"/>
                <w:color w:val="FF0000"/>
              </w:rPr>
            </w:pPr>
            <w:proofErr w:type="spellStart"/>
            <w:r w:rsidRPr="00914200">
              <w:rPr>
                <w:rFonts w:ascii="Calibri" w:hAnsi="Calibri"/>
                <w:color w:val="FF0000"/>
              </w:rPr>
              <w:t>Thur</w:t>
            </w:r>
            <w:proofErr w:type="spellEnd"/>
            <w:r w:rsidRPr="00914200">
              <w:rPr>
                <w:rFonts w:ascii="Calibri" w:hAnsi="Calibri"/>
                <w:color w:val="FF0000"/>
              </w:rPr>
              <w:t xml:space="preserve"> – max hours = x [enter times]</w:t>
            </w:r>
          </w:p>
          <w:p w14:paraId="5F756B70" w14:textId="77777777" w:rsidR="00325B83" w:rsidRPr="00914200" w:rsidRDefault="00325B83" w:rsidP="00325B83">
            <w:pPr>
              <w:pStyle w:val="ListParagraph"/>
              <w:numPr>
                <w:ilvl w:val="0"/>
                <w:numId w:val="21"/>
              </w:numPr>
              <w:ind w:right="108"/>
              <w:jc w:val="both"/>
              <w:rPr>
                <w:rFonts w:ascii="Calibri" w:hAnsi="Calibri"/>
                <w:color w:val="FF0000"/>
              </w:rPr>
            </w:pPr>
            <w:r w:rsidRPr="00914200">
              <w:rPr>
                <w:rFonts w:ascii="Calibri" w:hAnsi="Calibri"/>
                <w:color w:val="FF0000"/>
              </w:rPr>
              <w:t>Fri – max hours = x [enter times]</w:t>
            </w:r>
          </w:p>
          <w:p w14:paraId="2F1DD0ED" w14:textId="77777777" w:rsidR="00285425" w:rsidRPr="00914200" w:rsidRDefault="00285425" w:rsidP="00FD72E0">
            <w:pPr>
              <w:ind w:right="108"/>
              <w:jc w:val="both"/>
              <w:rPr>
                <w:rFonts w:ascii="Calibri" w:hAnsi="Calibri"/>
                <w:color w:val="FF0000"/>
              </w:rPr>
            </w:pPr>
          </w:p>
          <w:p w14:paraId="25E4E41F" w14:textId="77777777" w:rsidR="00285425" w:rsidRPr="00914200" w:rsidRDefault="00285425" w:rsidP="00FD72E0">
            <w:pPr>
              <w:ind w:right="108"/>
              <w:jc w:val="both"/>
              <w:rPr>
                <w:rFonts w:ascii="Calibri" w:hAnsi="Calibri"/>
                <w:color w:val="FF0000"/>
              </w:rPr>
            </w:pPr>
            <w:r w:rsidRPr="00914200">
              <w:rPr>
                <w:rFonts w:ascii="Calibri" w:hAnsi="Calibri"/>
                <w:color w:val="FF0000"/>
              </w:rPr>
              <w:t>These places are limited and will be offered to families who are unable to pay the consumable charge and are -</w:t>
            </w:r>
          </w:p>
          <w:p w14:paraId="591052CD" w14:textId="77777777" w:rsidR="00285425" w:rsidRPr="00914200" w:rsidRDefault="00285425" w:rsidP="00914200">
            <w:pPr>
              <w:pStyle w:val="ListParagraph"/>
              <w:numPr>
                <w:ilvl w:val="0"/>
                <w:numId w:val="22"/>
              </w:numPr>
              <w:ind w:right="108"/>
              <w:jc w:val="both"/>
              <w:rPr>
                <w:rFonts w:ascii="Calibri" w:hAnsi="Calibri"/>
                <w:color w:val="FF0000"/>
              </w:rPr>
            </w:pPr>
            <w:r w:rsidRPr="00914200">
              <w:rPr>
                <w:rFonts w:ascii="Calibri" w:hAnsi="Calibri"/>
                <w:color w:val="FF0000"/>
              </w:rPr>
              <w:lastRenderedPageBreak/>
              <w:t>receiving some form of government help</w:t>
            </w:r>
          </w:p>
          <w:p w14:paraId="62455EA2" w14:textId="77777777" w:rsidR="00285425" w:rsidRPr="00914200" w:rsidRDefault="00285425" w:rsidP="00914200">
            <w:pPr>
              <w:pStyle w:val="ListParagraph"/>
              <w:numPr>
                <w:ilvl w:val="0"/>
                <w:numId w:val="22"/>
              </w:numPr>
              <w:ind w:right="108"/>
              <w:jc w:val="both"/>
              <w:rPr>
                <w:rFonts w:ascii="Calibri" w:hAnsi="Calibri"/>
                <w:color w:val="FF0000"/>
              </w:rPr>
            </w:pPr>
            <w:r w:rsidRPr="00914200">
              <w:rPr>
                <w:rFonts w:ascii="Calibri" w:hAnsi="Calibri"/>
                <w:color w:val="FF0000"/>
              </w:rPr>
              <w:t xml:space="preserve">insert your </w:t>
            </w:r>
            <w:proofErr w:type="gramStart"/>
            <w:r w:rsidRPr="00914200">
              <w:rPr>
                <w:rFonts w:ascii="Calibri" w:hAnsi="Calibri"/>
                <w:color w:val="FF0000"/>
              </w:rPr>
              <w:t>criteria</w:t>
            </w:r>
            <w:proofErr w:type="gramEnd"/>
          </w:p>
          <w:p w14:paraId="1A4C56BA" w14:textId="77777777" w:rsidR="00285425" w:rsidRPr="00EF6026" w:rsidRDefault="00285425" w:rsidP="00FD72E0">
            <w:pPr>
              <w:ind w:right="108"/>
              <w:jc w:val="both"/>
              <w:rPr>
                <w:rFonts w:ascii="Calibri" w:hAnsi="Calibri"/>
              </w:rPr>
            </w:pPr>
          </w:p>
          <w:p w14:paraId="7DA7EA4B" w14:textId="77777777" w:rsidR="00285425" w:rsidRPr="00EF6026" w:rsidRDefault="00285425" w:rsidP="00FD72E0">
            <w:pPr>
              <w:ind w:right="108"/>
              <w:jc w:val="both"/>
              <w:rPr>
                <w:rFonts w:ascii="Calibri" w:hAnsi="Calibri"/>
              </w:rPr>
            </w:pPr>
            <w:r w:rsidRPr="00EF6026">
              <w:rPr>
                <w:rFonts w:ascii="Calibri" w:hAnsi="Calibri"/>
              </w:rPr>
              <w:t xml:space="preserve">If you are unable to pay our charges, please speak with </w:t>
            </w:r>
            <w:r w:rsidRPr="006F0865">
              <w:rPr>
                <w:rFonts w:ascii="Calibri" w:hAnsi="Calibri"/>
                <w:color w:val="FF0000"/>
              </w:rPr>
              <w:t>x</w:t>
            </w:r>
            <w:r w:rsidRPr="00EF6026">
              <w:rPr>
                <w:rFonts w:ascii="Calibri" w:hAnsi="Calibri"/>
              </w:rPr>
              <w:t xml:space="preserve"> to discuss the alternative options available.</w:t>
            </w:r>
          </w:p>
          <w:p w14:paraId="2DD43F73" w14:textId="77777777" w:rsidR="00285425" w:rsidRPr="00EF6026" w:rsidRDefault="00285425" w:rsidP="00FD72E0">
            <w:pPr>
              <w:ind w:right="108"/>
              <w:jc w:val="both"/>
              <w:rPr>
                <w:rFonts w:ascii="Calibri" w:hAnsi="Calibri"/>
              </w:rPr>
            </w:pPr>
          </w:p>
          <w:p w14:paraId="4292F086" w14:textId="77777777" w:rsidR="00285425" w:rsidRPr="00EF6026" w:rsidRDefault="00285425" w:rsidP="00FD72E0">
            <w:pPr>
              <w:ind w:right="108"/>
              <w:jc w:val="both"/>
              <w:rPr>
                <w:rFonts w:ascii="Calibri" w:hAnsi="Calibri"/>
              </w:rPr>
            </w:pPr>
            <w:r w:rsidRPr="00EF6026">
              <w:rPr>
                <w:rFonts w:ascii="Calibri" w:hAnsi="Calibri"/>
              </w:rPr>
              <w:t>Funding can</w:t>
            </w:r>
            <w:r w:rsidRPr="00986E6C">
              <w:rPr>
                <w:rFonts w:ascii="Calibri" w:hAnsi="Calibri"/>
                <w:color w:val="FF0000"/>
              </w:rPr>
              <w:t xml:space="preserve">not </w:t>
            </w:r>
            <w:r w:rsidRPr="00EF6026">
              <w:rPr>
                <w:rFonts w:ascii="Calibri" w:hAnsi="Calibri"/>
              </w:rPr>
              <w:t>be claimed during our lunch period.</w:t>
            </w:r>
          </w:p>
          <w:p w14:paraId="6D567F67" w14:textId="77777777" w:rsidR="00F95C5B" w:rsidRPr="00EF6026" w:rsidRDefault="00F95C5B" w:rsidP="00FD72E0">
            <w:pPr>
              <w:ind w:right="108"/>
              <w:jc w:val="both"/>
              <w:rPr>
                <w:rFonts w:ascii="Calibri" w:hAnsi="Calibri"/>
              </w:rPr>
            </w:pPr>
          </w:p>
        </w:tc>
      </w:tr>
      <w:tr w:rsidR="00F95C5B" w14:paraId="03E9E281" w14:textId="77777777" w:rsidTr="00524ED5">
        <w:tc>
          <w:tcPr>
            <w:tcW w:w="790" w:type="dxa"/>
            <w:tcBorders>
              <w:top w:val="single" w:sz="4" w:space="0" w:color="auto"/>
              <w:left w:val="single" w:sz="4" w:space="0" w:color="auto"/>
              <w:bottom w:val="single" w:sz="4" w:space="0" w:color="auto"/>
              <w:right w:val="single" w:sz="4" w:space="0" w:color="auto"/>
            </w:tcBorders>
            <w:shd w:val="clear" w:color="auto" w:fill="auto"/>
          </w:tcPr>
          <w:p w14:paraId="20A2E67A" w14:textId="56CA2A77" w:rsidR="00F95C5B" w:rsidRPr="00F95C5B" w:rsidRDefault="00F95C5B" w:rsidP="007C4C5D">
            <w:pPr>
              <w:ind w:right="108"/>
              <w:jc w:val="both"/>
              <w:rPr>
                <w:rFonts w:asciiTheme="minorHAnsi" w:hAnsiTheme="minorHAnsi"/>
              </w:rPr>
            </w:pPr>
            <w:r w:rsidRPr="00F95C5B">
              <w:rPr>
                <w:rFonts w:asciiTheme="minorHAnsi" w:hAnsiTheme="minorHAnsi"/>
                <w:b/>
              </w:rPr>
              <w:lastRenderedPageBreak/>
              <w:t>[2.</w:t>
            </w:r>
            <w:r w:rsidR="008A2B5A">
              <w:rPr>
                <w:rFonts w:asciiTheme="minorHAnsi" w:hAnsiTheme="minorHAnsi"/>
                <w:b/>
              </w:rPr>
              <w:t>2</w:t>
            </w:r>
            <w:r w:rsidRPr="00F95C5B">
              <w:rPr>
                <w:rFonts w:asciiTheme="minorHAnsi" w:hAnsiTheme="minorHAnsi"/>
                <w:b/>
              </w:rPr>
              <w:t>7]</w:t>
            </w:r>
          </w:p>
          <w:p w14:paraId="247097CF" w14:textId="77777777" w:rsidR="00F95C5B" w:rsidRPr="00F95C5B" w:rsidRDefault="00F95C5B" w:rsidP="007C4C5D">
            <w:pPr>
              <w:rPr>
                <w:rFonts w:asciiTheme="minorHAnsi" w:hAnsiTheme="minorHAnsi"/>
              </w:rPr>
            </w:pP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0E7CB09A" w14:textId="4F59BF6E" w:rsidR="00F95C5B" w:rsidRPr="00EF6026" w:rsidRDefault="00A54B7E" w:rsidP="007C4C5D">
            <w:pPr>
              <w:ind w:right="108"/>
              <w:jc w:val="both"/>
              <w:rPr>
                <w:rFonts w:ascii="Calibri" w:hAnsi="Calibri"/>
              </w:rPr>
            </w:pPr>
            <w:r w:rsidRPr="00EF6026">
              <w:rPr>
                <w:rFonts w:ascii="Calibri" w:hAnsi="Calibri"/>
              </w:rPr>
              <w:t>The provider should also make information about their offer and admissions criteria available to parents at the point the child first accesses provision at their setting.</w:t>
            </w:r>
          </w:p>
        </w:tc>
        <w:tc>
          <w:tcPr>
            <w:tcW w:w="4919" w:type="dxa"/>
            <w:tcBorders>
              <w:top w:val="single" w:sz="4" w:space="0" w:color="auto"/>
              <w:left w:val="single" w:sz="4" w:space="0" w:color="auto"/>
              <w:bottom w:val="single" w:sz="4" w:space="0" w:color="auto"/>
              <w:right w:val="single" w:sz="4" w:space="0" w:color="auto"/>
            </w:tcBorders>
          </w:tcPr>
          <w:p w14:paraId="44F7B025" w14:textId="77777777" w:rsidR="00F80A99" w:rsidRPr="00EF6026" w:rsidRDefault="00F80A99" w:rsidP="00FD72E0">
            <w:pPr>
              <w:ind w:right="108"/>
              <w:jc w:val="both"/>
              <w:rPr>
                <w:rFonts w:ascii="Calibri" w:hAnsi="Calibri"/>
              </w:rPr>
            </w:pPr>
            <w:r w:rsidRPr="00EF6026">
              <w:rPr>
                <w:rFonts w:ascii="Calibri" w:hAnsi="Calibri"/>
              </w:rPr>
              <w:t xml:space="preserve">The Admission and Charging Policies are issued to all families as part of the registration process.  They are also available </w:t>
            </w:r>
            <w:r w:rsidRPr="00986E6C">
              <w:rPr>
                <w:rFonts w:ascii="Calibri" w:hAnsi="Calibri"/>
                <w:color w:val="FF0000"/>
              </w:rPr>
              <w:t>x</w:t>
            </w:r>
            <w:r w:rsidRPr="00EF6026">
              <w:rPr>
                <w:rFonts w:ascii="Calibri" w:hAnsi="Calibri"/>
              </w:rPr>
              <w:t>.</w:t>
            </w:r>
          </w:p>
          <w:p w14:paraId="608FB399" w14:textId="162A8D2C" w:rsidR="00F95C5B" w:rsidRPr="00EF6026" w:rsidRDefault="00F95C5B" w:rsidP="00FD72E0">
            <w:pPr>
              <w:ind w:right="108"/>
              <w:jc w:val="both"/>
              <w:rPr>
                <w:rFonts w:ascii="Calibri" w:hAnsi="Calibri"/>
              </w:rPr>
            </w:pPr>
          </w:p>
        </w:tc>
      </w:tr>
      <w:tr w:rsidR="00F95C5B" w14:paraId="2D351A57" w14:textId="77777777" w:rsidTr="00524ED5">
        <w:tc>
          <w:tcPr>
            <w:tcW w:w="790" w:type="dxa"/>
            <w:tcBorders>
              <w:top w:val="single" w:sz="4" w:space="0" w:color="auto"/>
              <w:left w:val="single" w:sz="4" w:space="0" w:color="auto"/>
              <w:bottom w:val="single" w:sz="4" w:space="0" w:color="auto"/>
              <w:right w:val="single" w:sz="4" w:space="0" w:color="auto"/>
            </w:tcBorders>
            <w:shd w:val="clear" w:color="auto" w:fill="auto"/>
          </w:tcPr>
          <w:p w14:paraId="3EA3343F" w14:textId="49EC204B" w:rsidR="00F95C5B" w:rsidRPr="00F95C5B" w:rsidRDefault="00F95C5B" w:rsidP="007C4C5D">
            <w:pPr>
              <w:ind w:right="108"/>
              <w:jc w:val="both"/>
              <w:rPr>
                <w:rFonts w:asciiTheme="minorHAnsi" w:hAnsiTheme="minorHAnsi"/>
              </w:rPr>
            </w:pPr>
            <w:r w:rsidRPr="00F95C5B">
              <w:rPr>
                <w:rFonts w:asciiTheme="minorHAnsi" w:hAnsiTheme="minorHAnsi"/>
                <w:b/>
              </w:rPr>
              <w:t>[2.</w:t>
            </w:r>
            <w:r w:rsidR="008A2B5A">
              <w:rPr>
                <w:rFonts w:asciiTheme="minorHAnsi" w:hAnsiTheme="minorHAnsi"/>
                <w:b/>
              </w:rPr>
              <w:t>30</w:t>
            </w:r>
            <w:r w:rsidRPr="00F95C5B">
              <w:rPr>
                <w:rFonts w:asciiTheme="minorHAnsi" w:hAnsiTheme="minorHAnsi"/>
                <w:b/>
              </w:rPr>
              <w:t>]</w:t>
            </w:r>
          </w:p>
          <w:p w14:paraId="1618365F" w14:textId="77777777" w:rsidR="00F95C5B" w:rsidRPr="00F95C5B" w:rsidRDefault="00F95C5B" w:rsidP="007C4C5D">
            <w:pPr>
              <w:rPr>
                <w:rFonts w:asciiTheme="minorHAnsi" w:hAnsiTheme="minorHAnsi"/>
              </w:rPr>
            </w:pP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30AAEE03" w14:textId="77777777" w:rsidR="005C1EB4" w:rsidRPr="00EF6026" w:rsidRDefault="005C1EB4" w:rsidP="005C1EB4">
            <w:pPr>
              <w:ind w:right="108"/>
              <w:jc w:val="both"/>
              <w:rPr>
                <w:rFonts w:ascii="Calibri" w:hAnsi="Calibri"/>
              </w:rPr>
            </w:pPr>
            <w:r w:rsidRPr="00EF6026">
              <w:rPr>
                <w:rFonts w:ascii="Calibri" w:hAnsi="Calibri"/>
              </w:rPr>
              <w:t xml:space="preserve">The provider should work in partnership with parents, </w:t>
            </w:r>
            <w:proofErr w:type="gramStart"/>
            <w:r w:rsidRPr="00EF6026">
              <w:rPr>
                <w:rFonts w:ascii="Calibri" w:hAnsi="Calibri"/>
              </w:rPr>
              <w:t>carers</w:t>
            </w:r>
            <w:proofErr w:type="gramEnd"/>
            <w:r w:rsidRPr="00EF6026">
              <w:rPr>
                <w:rFonts w:ascii="Calibri" w:hAnsi="Calibri"/>
              </w:rPr>
              <w:t xml:space="preserve"> and other providers to improve provision and outcomes for children in their setting. An </w:t>
            </w:r>
            <w:hyperlink r:id="rId8" w:history="1">
              <w:r w:rsidRPr="00EF6026">
                <w:rPr>
                  <w:rFonts w:ascii="Calibri" w:hAnsi="Calibri"/>
                </w:rPr>
                <w:t>interactive toolkit</w:t>
              </w:r>
            </w:hyperlink>
            <w:r w:rsidRPr="00EF6026">
              <w:rPr>
                <w:rFonts w:ascii="Calibri" w:hAnsi="Calibri"/>
              </w:rPr>
              <w:t xml:space="preserve"> has been developed to help providers set up or join a partnership, maximise the benefits of working together and tackle the challenges joint working can bring.</w:t>
            </w:r>
          </w:p>
          <w:p w14:paraId="39EA9A0D" w14:textId="5CB6FFBA" w:rsidR="00F95C5B" w:rsidRPr="00EF6026" w:rsidRDefault="00F95C5B" w:rsidP="007C4C5D">
            <w:pPr>
              <w:ind w:right="108"/>
              <w:jc w:val="both"/>
              <w:rPr>
                <w:rFonts w:asciiTheme="minorHAnsi" w:hAnsiTheme="minorHAnsi"/>
              </w:rPr>
            </w:pPr>
          </w:p>
        </w:tc>
        <w:tc>
          <w:tcPr>
            <w:tcW w:w="4919" w:type="dxa"/>
            <w:tcBorders>
              <w:top w:val="single" w:sz="4" w:space="0" w:color="auto"/>
              <w:left w:val="single" w:sz="4" w:space="0" w:color="auto"/>
              <w:bottom w:val="single" w:sz="4" w:space="0" w:color="auto"/>
              <w:right w:val="single" w:sz="4" w:space="0" w:color="auto"/>
            </w:tcBorders>
          </w:tcPr>
          <w:p w14:paraId="29D5A96B" w14:textId="77777777" w:rsidR="008A4541" w:rsidRPr="00EF6026" w:rsidRDefault="008A4541" w:rsidP="00FD72E0">
            <w:pPr>
              <w:ind w:right="108"/>
              <w:jc w:val="both"/>
              <w:rPr>
                <w:rFonts w:ascii="Calibri" w:hAnsi="Calibri"/>
              </w:rPr>
            </w:pPr>
            <w:r w:rsidRPr="00EF6026">
              <w:rPr>
                <w:rFonts w:ascii="Calibri" w:hAnsi="Calibri"/>
              </w:rPr>
              <w:t xml:space="preserve">We will work in partnership with parents, carers, childcare providers, the local authority, and other organisations to improve provision and outcomes for children in their setting. Where required we will seek parent / carer consent to collect, share and use your information in accordance with the Data Protection Act and General Data Protection Regulations. </w:t>
            </w:r>
          </w:p>
          <w:p w14:paraId="04D135BB" w14:textId="77777777" w:rsidR="008A4541" w:rsidRPr="00EF6026" w:rsidRDefault="008A4541" w:rsidP="00FD72E0">
            <w:pPr>
              <w:ind w:right="108"/>
              <w:jc w:val="both"/>
              <w:rPr>
                <w:rFonts w:ascii="Calibri" w:hAnsi="Calibri"/>
              </w:rPr>
            </w:pPr>
          </w:p>
          <w:p w14:paraId="690701D3" w14:textId="77777777" w:rsidR="008A4541" w:rsidRPr="00A426C3" w:rsidRDefault="008A4541" w:rsidP="00FD72E0">
            <w:pPr>
              <w:ind w:right="108"/>
              <w:jc w:val="both"/>
              <w:rPr>
                <w:rFonts w:ascii="Calibri" w:hAnsi="Calibri"/>
                <w:color w:val="FF0000"/>
              </w:rPr>
            </w:pPr>
            <w:r w:rsidRPr="00A426C3">
              <w:rPr>
                <w:rFonts w:ascii="Calibri" w:hAnsi="Calibri"/>
                <w:color w:val="FF0000"/>
              </w:rPr>
              <w:t>Our setting has made a Flourish Pledge, which means we are working together with the local authority to make Flourish the shared ambition of everyone working to improve the lives of children and young people in Norfolk.</w:t>
            </w:r>
          </w:p>
          <w:p w14:paraId="34DD69EB" w14:textId="77777777" w:rsidR="00F95C5B" w:rsidRPr="00EF6026" w:rsidRDefault="00F95C5B" w:rsidP="00FD72E0">
            <w:pPr>
              <w:ind w:right="108"/>
              <w:rPr>
                <w:rFonts w:ascii="Calibri" w:hAnsi="Calibri"/>
              </w:rPr>
            </w:pPr>
          </w:p>
        </w:tc>
      </w:tr>
      <w:tr w:rsidR="00F80A99" w14:paraId="746581C9" w14:textId="77777777" w:rsidTr="00524ED5">
        <w:tc>
          <w:tcPr>
            <w:tcW w:w="790" w:type="dxa"/>
            <w:tcBorders>
              <w:top w:val="single" w:sz="4" w:space="0" w:color="auto"/>
              <w:left w:val="single" w:sz="4" w:space="0" w:color="auto"/>
              <w:bottom w:val="single" w:sz="4" w:space="0" w:color="auto"/>
              <w:right w:val="single" w:sz="4" w:space="0" w:color="auto"/>
            </w:tcBorders>
            <w:shd w:val="clear" w:color="auto" w:fill="auto"/>
          </w:tcPr>
          <w:p w14:paraId="65565003" w14:textId="33DD17A8" w:rsidR="00F80A99" w:rsidRPr="00F95C5B" w:rsidRDefault="005F6D9C" w:rsidP="007C4C5D">
            <w:pPr>
              <w:ind w:right="108"/>
              <w:jc w:val="both"/>
              <w:rPr>
                <w:rFonts w:asciiTheme="minorHAnsi" w:hAnsiTheme="minorHAnsi"/>
                <w:b/>
              </w:rPr>
            </w:pPr>
            <w:r w:rsidRPr="006F0865">
              <w:rPr>
                <w:rFonts w:asciiTheme="minorHAnsi" w:hAnsiTheme="minorHAnsi"/>
                <w:b/>
              </w:rPr>
              <w:t>[2.31]</w:t>
            </w: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3FA41312" w14:textId="77777777" w:rsidR="00EF6026" w:rsidRPr="00EF6026" w:rsidRDefault="00EF6026" w:rsidP="00EF6026">
            <w:pPr>
              <w:ind w:right="108"/>
              <w:jc w:val="both"/>
              <w:rPr>
                <w:rFonts w:ascii="Calibri" w:hAnsi="Calibri"/>
              </w:rPr>
            </w:pPr>
            <w:r w:rsidRPr="00EF6026">
              <w:rPr>
                <w:rFonts w:ascii="Calibri" w:hAnsi="Calibri"/>
              </w:rPr>
              <w:t>The provider should discuss and work closely with parents to agree how a child’s overall care will work in practice when their free entitlement is split across different providers, such as at a maintained setting and childminder, to ensure a smooth transition for the child.</w:t>
            </w:r>
          </w:p>
          <w:p w14:paraId="3B487B0D" w14:textId="77777777" w:rsidR="00F80A99" w:rsidRPr="00EF6026" w:rsidRDefault="00F80A99" w:rsidP="007C4C5D">
            <w:pPr>
              <w:ind w:right="108"/>
              <w:jc w:val="both"/>
              <w:rPr>
                <w:rFonts w:asciiTheme="minorHAnsi" w:hAnsiTheme="minorHAnsi"/>
              </w:rPr>
            </w:pPr>
          </w:p>
        </w:tc>
        <w:tc>
          <w:tcPr>
            <w:tcW w:w="4919" w:type="dxa"/>
            <w:tcBorders>
              <w:top w:val="single" w:sz="4" w:space="0" w:color="auto"/>
              <w:left w:val="single" w:sz="4" w:space="0" w:color="auto"/>
              <w:bottom w:val="single" w:sz="4" w:space="0" w:color="auto"/>
              <w:right w:val="single" w:sz="4" w:space="0" w:color="auto"/>
            </w:tcBorders>
          </w:tcPr>
          <w:p w14:paraId="59F6C3BA" w14:textId="77777777" w:rsidR="00F86A7F" w:rsidRPr="00EF6026" w:rsidRDefault="00F86A7F" w:rsidP="00FD72E0">
            <w:pPr>
              <w:ind w:right="108"/>
              <w:jc w:val="both"/>
              <w:rPr>
                <w:rFonts w:ascii="Calibri" w:hAnsi="Calibri"/>
              </w:rPr>
            </w:pPr>
            <w:r w:rsidRPr="00EF6026">
              <w:rPr>
                <w:rFonts w:ascii="Calibri" w:hAnsi="Calibri"/>
              </w:rPr>
              <w:t>To ensure a smooth transition for the child, we will work closely with families to discuss and agree how a child’s overall care will work in practice where an entitlement is split across different providers, and where possible when families transfer their funding claim to a new setting.</w:t>
            </w:r>
          </w:p>
          <w:p w14:paraId="66A57424" w14:textId="77777777" w:rsidR="00F80A99" w:rsidRPr="00EF6026" w:rsidRDefault="00F80A99" w:rsidP="00FD72E0">
            <w:pPr>
              <w:ind w:right="108"/>
              <w:rPr>
                <w:rFonts w:ascii="Calibri" w:hAnsi="Calibri"/>
              </w:rPr>
            </w:pPr>
          </w:p>
        </w:tc>
      </w:tr>
      <w:tr w:rsidR="00F80A99" w14:paraId="303BC976" w14:textId="77777777" w:rsidTr="00524ED5">
        <w:tc>
          <w:tcPr>
            <w:tcW w:w="790" w:type="dxa"/>
            <w:tcBorders>
              <w:top w:val="single" w:sz="4" w:space="0" w:color="auto"/>
              <w:left w:val="single" w:sz="4" w:space="0" w:color="auto"/>
              <w:bottom w:val="single" w:sz="4" w:space="0" w:color="auto"/>
              <w:right w:val="single" w:sz="4" w:space="0" w:color="auto"/>
            </w:tcBorders>
            <w:shd w:val="clear" w:color="auto" w:fill="auto"/>
          </w:tcPr>
          <w:p w14:paraId="5430ED4E" w14:textId="00B28345" w:rsidR="00F80A99" w:rsidRPr="00F95C5B" w:rsidRDefault="005F6D9C" w:rsidP="007C4C5D">
            <w:pPr>
              <w:ind w:right="108"/>
              <w:jc w:val="both"/>
              <w:rPr>
                <w:rFonts w:asciiTheme="minorHAnsi" w:hAnsiTheme="minorHAnsi"/>
                <w:b/>
              </w:rPr>
            </w:pPr>
            <w:r w:rsidRPr="006F0865">
              <w:rPr>
                <w:rFonts w:asciiTheme="minorHAnsi" w:hAnsiTheme="minorHAnsi"/>
                <w:b/>
              </w:rPr>
              <w:t>[2.35]</w:t>
            </w: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0F5F865C" w14:textId="77777777" w:rsidR="007C6D56" w:rsidRPr="00EF6026" w:rsidRDefault="007C6D56" w:rsidP="007C6D56">
            <w:pPr>
              <w:ind w:right="108"/>
              <w:jc w:val="both"/>
              <w:rPr>
                <w:rFonts w:ascii="Calibri" w:hAnsi="Calibri"/>
              </w:rPr>
            </w:pPr>
            <w:r w:rsidRPr="00EF6026">
              <w:rPr>
                <w:rFonts w:ascii="Calibri" w:hAnsi="Calibri"/>
              </w:rPr>
              <w:t>The provider should be clear and transparent about the SEND support on offer at their setting and make information available about their offer to support parents to choose the right setting for their child with SEND.</w:t>
            </w:r>
          </w:p>
          <w:p w14:paraId="740CB42E" w14:textId="77777777" w:rsidR="00F80A99" w:rsidRPr="00EF6026" w:rsidRDefault="00F80A99" w:rsidP="007C4C5D">
            <w:pPr>
              <w:ind w:right="108"/>
              <w:jc w:val="both"/>
              <w:rPr>
                <w:rFonts w:asciiTheme="minorHAnsi" w:hAnsiTheme="minorHAnsi"/>
              </w:rPr>
            </w:pPr>
          </w:p>
        </w:tc>
        <w:tc>
          <w:tcPr>
            <w:tcW w:w="4919" w:type="dxa"/>
            <w:tcBorders>
              <w:top w:val="single" w:sz="4" w:space="0" w:color="auto"/>
              <w:left w:val="single" w:sz="4" w:space="0" w:color="auto"/>
              <w:bottom w:val="single" w:sz="4" w:space="0" w:color="auto"/>
              <w:right w:val="single" w:sz="4" w:space="0" w:color="auto"/>
            </w:tcBorders>
          </w:tcPr>
          <w:p w14:paraId="1D50E43E" w14:textId="77777777" w:rsidR="00F63039" w:rsidRDefault="00597BCD" w:rsidP="00FD72E0">
            <w:pPr>
              <w:ind w:right="108"/>
              <w:jc w:val="both"/>
              <w:rPr>
                <w:rFonts w:ascii="Calibri" w:hAnsi="Calibri"/>
              </w:rPr>
            </w:pPr>
            <w:r w:rsidRPr="00EF6026">
              <w:rPr>
                <w:rFonts w:ascii="Calibri" w:hAnsi="Calibri"/>
              </w:rPr>
              <w:t xml:space="preserve">[We are required to have arrangements in place to support children with special educational needs and/or disabilities (SEND). These arrangements should include a clear approach to identifying and responding to SEND.  </w:t>
            </w:r>
          </w:p>
          <w:p w14:paraId="10B1835D" w14:textId="77777777" w:rsidR="00F63039" w:rsidRDefault="00F63039" w:rsidP="00FD72E0">
            <w:pPr>
              <w:ind w:right="108"/>
              <w:jc w:val="both"/>
              <w:rPr>
                <w:rFonts w:ascii="Calibri" w:hAnsi="Calibri"/>
              </w:rPr>
            </w:pPr>
          </w:p>
          <w:p w14:paraId="06FA4EDB" w14:textId="4350E016" w:rsidR="00597BCD" w:rsidRPr="00EF6026" w:rsidRDefault="00597BCD" w:rsidP="00FD72E0">
            <w:pPr>
              <w:ind w:right="108"/>
              <w:jc w:val="both"/>
              <w:rPr>
                <w:rFonts w:ascii="Calibri" w:hAnsi="Calibri"/>
              </w:rPr>
            </w:pPr>
            <w:r w:rsidRPr="00EF6026">
              <w:rPr>
                <w:rFonts w:ascii="Calibri" w:hAnsi="Calibri"/>
              </w:rPr>
              <w:t xml:space="preserve">This means we will - </w:t>
            </w:r>
          </w:p>
          <w:p w14:paraId="4BAFD9C3" w14:textId="77777777" w:rsidR="00597BCD" w:rsidRPr="00EF6026" w:rsidRDefault="00597BCD" w:rsidP="00FD72E0">
            <w:pPr>
              <w:ind w:right="108"/>
              <w:jc w:val="both"/>
              <w:rPr>
                <w:rFonts w:ascii="Calibri" w:hAnsi="Calibri"/>
              </w:rPr>
            </w:pPr>
          </w:p>
          <w:p w14:paraId="3441DC24" w14:textId="77777777" w:rsidR="00597BCD" w:rsidRPr="00EF6026" w:rsidRDefault="00597BCD" w:rsidP="001B3700">
            <w:pPr>
              <w:pStyle w:val="Default"/>
              <w:numPr>
                <w:ilvl w:val="0"/>
                <w:numId w:val="23"/>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follow the requirements of the Early Years Foundation Stage Statutory Framework to provide an inclusive environment for all children and their families, together with the requirements to comply with the Equalities Act and the Special Educational Needs and Disability Code of Practice</w:t>
            </w:r>
          </w:p>
          <w:p w14:paraId="5DA723CC" w14:textId="77777777" w:rsidR="00597BCD" w:rsidRPr="00EF6026" w:rsidRDefault="00597BCD" w:rsidP="001B3700">
            <w:pPr>
              <w:pStyle w:val="Default"/>
              <w:adjustRightInd/>
              <w:ind w:right="108"/>
              <w:jc w:val="both"/>
              <w:rPr>
                <w:rFonts w:ascii="Calibri" w:hAnsi="Calibri" w:cs="Times New Roman"/>
                <w:color w:val="auto"/>
                <w:sz w:val="20"/>
                <w:szCs w:val="20"/>
                <w:lang w:val="en-US" w:eastAsia="en-US"/>
              </w:rPr>
            </w:pPr>
          </w:p>
          <w:p w14:paraId="70153754" w14:textId="77777777" w:rsidR="00597BCD" w:rsidRPr="00EF6026" w:rsidRDefault="00597BCD" w:rsidP="001B3700">
            <w:pPr>
              <w:pStyle w:val="Default"/>
              <w:numPr>
                <w:ilvl w:val="0"/>
                <w:numId w:val="23"/>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monitor and review children’s progress and development in partnership with families.  Where a child appears to be behind expected levels of development or where a child’s progress gives cause for concern a graduated approach will be adopted with 4 stages of action: Assess, Plan, Do &amp; Review</w:t>
            </w:r>
          </w:p>
          <w:p w14:paraId="78F872C5" w14:textId="77777777" w:rsidR="00597BCD" w:rsidRPr="00EF6026" w:rsidRDefault="00597BCD" w:rsidP="00FD72E0">
            <w:pPr>
              <w:pStyle w:val="Default"/>
              <w:adjustRightInd/>
              <w:ind w:right="108"/>
              <w:jc w:val="both"/>
              <w:rPr>
                <w:rFonts w:ascii="Calibri" w:hAnsi="Calibri" w:cs="Times New Roman"/>
                <w:color w:val="auto"/>
                <w:sz w:val="20"/>
                <w:szCs w:val="20"/>
                <w:lang w:val="en-US" w:eastAsia="en-US"/>
              </w:rPr>
            </w:pPr>
          </w:p>
          <w:p w14:paraId="6E57E713" w14:textId="77777777" w:rsidR="00597BCD" w:rsidRPr="00EF6026" w:rsidRDefault="00597BCD" w:rsidP="001B3700">
            <w:pPr>
              <w:pStyle w:val="Default"/>
              <w:numPr>
                <w:ilvl w:val="0"/>
                <w:numId w:val="23"/>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 xml:space="preserve">provide information to families on how their child’s development is being supported and in agreement, consent will be sought to apply for additional funding and request support from outside agencies where </w:t>
            </w:r>
            <w:proofErr w:type="gramStart"/>
            <w:r w:rsidRPr="00EF6026">
              <w:rPr>
                <w:rFonts w:ascii="Calibri" w:hAnsi="Calibri" w:cs="Times New Roman"/>
                <w:color w:val="auto"/>
                <w:sz w:val="20"/>
                <w:szCs w:val="20"/>
                <w:lang w:val="en-US" w:eastAsia="en-US"/>
              </w:rPr>
              <w:t>necessary</w:t>
            </w:r>
            <w:proofErr w:type="gramEnd"/>
          </w:p>
          <w:p w14:paraId="3D48B951" w14:textId="77777777" w:rsidR="00597BCD" w:rsidRPr="00EF6026" w:rsidRDefault="00597BCD" w:rsidP="001B3700">
            <w:pPr>
              <w:pStyle w:val="Default"/>
              <w:adjustRightInd/>
              <w:ind w:right="108"/>
              <w:jc w:val="both"/>
              <w:rPr>
                <w:rFonts w:ascii="Calibri" w:hAnsi="Calibri" w:cs="Times New Roman"/>
                <w:color w:val="auto"/>
                <w:sz w:val="20"/>
                <w:szCs w:val="20"/>
                <w:lang w:val="en-US" w:eastAsia="en-US"/>
              </w:rPr>
            </w:pPr>
          </w:p>
          <w:p w14:paraId="29FA242E" w14:textId="77777777" w:rsidR="00597BCD" w:rsidRPr="00EF6026" w:rsidRDefault="00597BCD" w:rsidP="001B3700">
            <w:pPr>
              <w:pStyle w:val="Default"/>
              <w:numPr>
                <w:ilvl w:val="0"/>
                <w:numId w:val="23"/>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 xml:space="preserve">utilise the SEN inclusion fund and Disability Access Fund to deliver effective </w:t>
            </w:r>
            <w:proofErr w:type="gramStart"/>
            <w:r w:rsidRPr="00EF6026">
              <w:rPr>
                <w:rFonts w:ascii="Calibri" w:hAnsi="Calibri" w:cs="Times New Roman"/>
                <w:color w:val="auto"/>
                <w:sz w:val="20"/>
                <w:szCs w:val="20"/>
                <w:lang w:val="en-US" w:eastAsia="en-US"/>
              </w:rPr>
              <w:t>support</w:t>
            </w:r>
            <w:proofErr w:type="gramEnd"/>
          </w:p>
          <w:p w14:paraId="7C4AC4AF" w14:textId="77777777" w:rsidR="00597BCD" w:rsidRPr="00EF6026" w:rsidRDefault="00597BCD" w:rsidP="001B3700">
            <w:pPr>
              <w:pStyle w:val="Default"/>
              <w:adjustRightInd/>
              <w:ind w:right="108"/>
              <w:jc w:val="both"/>
              <w:rPr>
                <w:rFonts w:ascii="Calibri" w:hAnsi="Calibri" w:cs="Times New Roman"/>
                <w:color w:val="auto"/>
                <w:sz w:val="20"/>
                <w:szCs w:val="20"/>
                <w:lang w:val="en-US" w:eastAsia="en-US"/>
              </w:rPr>
            </w:pPr>
          </w:p>
          <w:p w14:paraId="5B6874D2" w14:textId="77777777" w:rsidR="00597BCD" w:rsidRPr="00EF6026" w:rsidRDefault="00597BCD" w:rsidP="001B3700">
            <w:pPr>
              <w:pStyle w:val="Default"/>
              <w:numPr>
                <w:ilvl w:val="0"/>
                <w:numId w:val="23"/>
              </w:numPr>
              <w:adjustRightInd/>
              <w:ind w:right="108"/>
              <w:jc w:val="both"/>
              <w:rPr>
                <w:rFonts w:ascii="Calibri" w:hAnsi="Calibri" w:cs="Times New Roman"/>
                <w:color w:val="auto"/>
                <w:sz w:val="20"/>
                <w:szCs w:val="20"/>
                <w:lang w:val="en-US" w:eastAsia="en-US"/>
              </w:rPr>
            </w:pPr>
            <w:r w:rsidRPr="00EF6026">
              <w:rPr>
                <w:rFonts w:ascii="Calibri" w:hAnsi="Calibri" w:cs="Times New Roman"/>
                <w:color w:val="auto"/>
                <w:sz w:val="20"/>
                <w:szCs w:val="20"/>
                <w:lang w:val="en-US" w:eastAsia="en-US"/>
              </w:rPr>
              <w:t xml:space="preserve">publish our contribution to the ‘SEN Local Offer’ in Norfolk.  This is available on the </w:t>
            </w:r>
            <w:r w:rsidRPr="001B3700">
              <w:rPr>
                <w:rFonts w:ascii="Calibri" w:hAnsi="Calibri" w:cs="Times New Roman"/>
                <w:color w:val="FF0000"/>
                <w:sz w:val="20"/>
                <w:szCs w:val="20"/>
                <w:lang w:val="en-US" w:eastAsia="en-US"/>
              </w:rPr>
              <w:t>Norfolk Community Directory and x</w:t>
            </w:r>
            <w:r w:rsidRPr="00EF6026">
              <w:rPr>
                <w:rFonts w:ascii="Calibri" w:hAnsi="Calibri" w:cs="Times New Roman"/>
                <w:color w:val="auto"/>
                <w:sz w:val="20"/>
                <w:szCs w:val="20"/>
                <w:lang w:val="en-US" w:eastAsia="en-US"/>
              </w:rPr>
              <w:t xml:space="preserve"> to ensure information is available to parents so they can make choices about the right childcare provision for their child with </w:t>
            </w:r>
            <w:proofErr w:type="gramStart"/>
            <w:r w:rsidRPr="00EF6026">
              <w:rPr>
                <w:rFonts w:ascii="Calibri" w:hAnsi="Calibri" w:cs="Times New Roman"/>
                <w:color w:val="auto"/>
                <w:sz w:val="20"/>
                <w:szCs w:val="20"/>
                <w:lang w:val="en-US" w:eastAsia="en-US"/>
              </w:rPr>
              <w:t>SEN</w:t>
            </w:r>
            <w:proofErr w:type="gramEnd"/>
          </w:p>
          <w:p w14:paraId="266949AA" w14:textId="77777777" w:rsidR="00F80A99" w:rsidRPr="00EF6026" w:rsidRDefault="00F80A99" w:rsidP="00FD72E0">
            <w:pPr>
              <w:ind w:right="108"/>
              <w:rPr>
                <w:rFonts w:ascii="Calibri" w:hAnsi="Calibri"/>
              </w:rPr>
            </w:pPr>
          </w:p>
        </w:tc>
      </w:tr>
      <w:tr w:rsidR="00F80A99" w14:paraId="55B9F5B7" w14:textId="77777777" w:rsidTr="00524ED5">
        <w:tc>
          <w:tcPr>
            <w:tcW w:w="790" w:type="dxa"/>
            <w:tcBorders>
              <w:top w:val="single" w:sz="4" w:space="0" w:color="auto"/>
              <w:left w:val="single" w:sz="4" w:space="0" w:color="auto"/>
              <w:bottom w:val="single" w:sz="4" w:space="0" w:color="auto"/>
              <w:right w:val="single" w:sz="4" w:space="0" w:color="auto"/>
            </w:tcBorders>
            <w:shd w:val="clear" w:color="auto" w:fill="auto"/>
          </w:tcPr>
          <w:p w14:paraId="120BCD9D" w14:textId="5B19A813" w:rsidR="00F80A99" w:rsidRPr="00F95C5B" w:rsidRDefault="005F6D9C" w:rsidP="007C4C5D">
            <w:pPr>
              <w:ind w:right="108"/>
              <w:jc w:val="both"/>
              <w:rPr>
                <w:rFonts w:asciiTheme="minorHAnsi" w:hAnsiTheme="minorHAnsi"/>
                <w:b/>
              </w:rPr>
            </w:pPr>
            <w:r w:rsidRPr="006F0865">
              <w:rPr>
                <w:rFonts w:asciiTheme="minorHAnsi" w:hAnsiTheme="minorHAnsi"/>
                <w:b/>
              </w:rPr>
              <w:lastRenderedPageBreak/>
              <w:t>[2.37]</w:t>
            </w: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69DBB7A1" w14:textId="292194A0" w:rsidR="00F80A99" w:rsidRPr="003F5C2B" w:rsidRDefault="004B4514" w:rsidP="007C4C5D">
            <w:pPr>
              <w:ind w:right="108"/>
              <w:jc w:val="both"/>
              <w:rPr>
                <w:rFonts w:ascii="Calibri" w:hAnsi="Calibri"/>
              </w:rPr>
            </w:pPr>
            <w:r w:rsidRPr="003F5C2B">
              <w:rPr>
                <w:rFonts w:ascii="Calibri" w:hAnsi="Calibri"/>
              </w:rPr>
              <w:t>The provider should ensure that they have identified the disadvantaged children in their setting as part of the process for checking EYPP eligibility. They will also use EYPP and any locally available funding streams or support to improve outcomes for this group.</w:t>
            </w:r>
          </w:p>
        </w:tc>
        <w:tc>
          <w:tcPr>
            <w:tcW w:w="4919" w:type="dxa"/>
            <w:tcBorders>
              <w:top w:val="single" w:sz="4" w:space="0" w:color="auto"/>
              <w:left w:val="single" w:sz="4" w:space="0" w:color="auto"/>
              <w:bottom w:val="single" w:sz="4" w:space="0" w:color="auto"/>
              <w:right w:val="single" w:sz="4" w:space="0" w:color="auto"/>
            </w:tcBorders>
          </w:tcPr>
          <w:p w14:paraId="0E27208F" w14:textId="77777777" w:rsidR="00900155" w:rsidRPr="00EF6026" w:rsidRDefault="00900155" w:rsidP="00FD72E0">
            <w:pPr>
              <w:ind w:right="108"/>
              <w:jc w:val="both"/>
              <w:rPr>
                <w:rFonts w:ascii="Calibri" w:hAnsi="Calibri"/>
              </w:rPr>
            </w:pPr>
            <w:r w:rsidRPr="00EF6026">
              <w:rPr>
                <w:rFonts w:ascii="Calibri" w:hAnsi="Calibri"/>
              </w:rPr>
              <w:t>We aim to identify all children that may attract any additional funding such as EYPP, DAF, SEND Inclusion Fund and any locally available funding streams with a view to submit a claim/application to support and improve their outcomes.  This will be in partnership with families and consent will be sought prior to submitting a claim/application.</w:t>
            </w:r>
          </w:p>
          <w:p w14:paraId="2D209326" w14:textId="77777777" w:rsidR="00F80A99" w:rsidRPr="00EF6026" w:rsidRDefault="00F80A99" w:rsidP="00FD72E0">
            <w:pPr>
              <w:ind w:right="108"/>
              <w:rPr>
                <w:rFonts w:ascii="Calibri" w:hAnsi="Calibri"/>
              </w:rPr>
            </w:pPr>
          </w:p>
        </w:tc>
      </w:tr>
      <w:tr w:rsidR="00597BCD" w14:paraId="342F794A" w14:textId="77777777" w:rsidTr="00524ED5">
        <w:tc>
          <w:tcPr>
            <w:tcW w:w="790" w:type="dxa"/>
            <w:tcBorders>
              <w:top w:val="single" w:sz="4" w:space="0" w:color="auto"/>
              <w:left w:val="single" w:sz="4" w:space="0" w:color="auto"/>
              <w:bottom w:val="single" w:sz="4" w:space="0" w:color="auto"/>
              <w:right w:val="single" w:sz="4" w:space="0" w:color="auto"/>
            </w:tcBorders>
            <w:shd w:val="clear" w:color="auto" w:fill="auto"/>
          </w:tcPr>
          <w:p w14:paraId="15974025" w14:textId="393C5DB8" w:rsidR="00597BCD" w:rsidRPr="00F95C5B" w:rsidRDefault="005F6D9C" w:rsidP="007C4C5D">
            <w:pPr>
              <w:ind w:right="108"/>
              <w:jc w:val="both"/>
              <w:rPr>
                <w:rFonts w:asciiTheme="minorHAnsi" w:hAnsiTheme="minorHAnsi"/>
                <w:b/>
              </w:rPr>
            </w:pPr>
            <w:r w:rsidRPr="006F0865">
              <w:rPr>
                <w:rFonts w:asciiTheme="minorHAnsi" w:hAnsiTheme="minorHAnsi"/>
                <w:b/>
              </w:rPr>
              <w:t>[2.51]</w:t>
            </w:r>
          </w:p>
        </w:tc>
        <w:tc>
          <w:tcPr>
            <w:tcW w:w="4918" w:type="dxa"/>
            <w:tcBorders>
              <w:top w:val="single" w:sz="4" w:space="0" w:color="auto"/>
              <w:left w:val="single" w:sz="4" w:space="0" w:color="auto"/>
              <w:bottom w:val="single" w:sz="4" w:space="0" w:color="auto"/>
              <w:right w:val="single" w:sz="4" w:space="0" w:color="auto"/>
            </w:tcBorders>
            <w:shd w:val="clear" w:color="auto" w:fill="auto"/>
          </w:tcPr>
          <w:p w14:paraId="0D2A9556" w14:textId="77777777" w:rsidR="003F5C2B" w:rsidRPr="003F5C2B" w:rsidRDefault="003F5C2B" w:rsidP="003F5C2B">
            <w:pPr>
              <w:ind w:right="108"/>
              <w:jc w:val="both"/>
              <w:rPr>
                <w:rFonts w:ascii="Calibri" w:hAnsi="Calibri"/>
              </w:rPr>
            </w:pPr>
            <w:r w:rsidRPr="003F5C2B">
              <w:rPr>
                <w:rFonts w:ascii="Calibri" w:hAnsi="Calibri"/>
              </w:rPr>
              <w:t>The provider should publish their admissions criteria and ensure parents understand which hours/sessions can be taken as free provision. Not all providers will be able to offer fully flexible places, but providers should work with parents to ensure that as far as possible the pattern of hours are convenient for parents’ working hours.</w:t>
            </w:r>
          </w:p>
          <w:p w14:paraId="668496F8" w14:textId="77777777" w:rsidR="00597BCD" w:rsidRPr="003F5C2B" w:rsidRDefault="00597BCD" w:rsidP="007C4C5D">
            <w:pPr>
              <w:ind w:right="108"/>
              <w:jc w:val="both"/>
              <w:rPr>
                <w:rFonts w:asciiTheme="minorHAnsi" w:hAnsiTheme="minorHAnsi"/>
              </w:rPr>
            </w:pPr>
          </w:p>
        </w:tc>
        <w:tc>
          <w:tcPr>
            <w:tcW w:w="4919" w:type="dxa"/>
            <w:tcBorders>
              <w:top w:val="single" w:sz="4" w:space="0" w:color="auto"/>
              <w:left w:val="single" w:sz="4" w:space="0" w:color="auto"/>
              <w:bottom w:val="single" w:sz="4" w:space="0" w:color="auto"/>
              <w:right w:val="single" w:sz="4" w:space="0" w:color="auto"/>
            </w:tcBorders>
          </w:tcPr>
          <w:p w14:paraId="39693C01" w14:textId="77777777" w:rsidR="00095DA9" w:rsidRPr="00EF6026" w:rsidRDefault="00095DA9" w:rsidP="00FD72E0">
            <w:pPr>
              <w:ind w:right="108"/>
              <w:jc w:val="both"/>
              <w:rPr>
                <w:rFonts w:ascii="Calibri" w:hAnsi="Calibri"/>
              </w:rPr>
            </w:pPr>
            <w:r w:rsidRPr="00EF6026">
              <w:rPr>
                <w:rFonts w:ascii="Calibri" w:hAnsi="Calibri"/>
              </w:rPr>
              <w:t>We will work with parents to ensure that as far as possible the hours/sessions that can be taken as funded provision are convenient for parents’ working hours.</w:t>
            </w:r>
          </w:p>
          <w:p w14:paraId="07A08588" w14:textId="77777777" w:rsidR="00597BCD" w:rsidRPr="00EF6026" w:rsidRDefault="00597BCD" w:rsidP="00FD72E0">
            <w:pPr>
              <w:ind w:right="108"/>
              <w:rPr>
                <w:rFonts w:ascii="Calibri" w:hAnsi="Calibri"/>
              </w:rPr>
            </w:pPr>
          </w:p>
        </w:tc>
      </w:tr>
    </w:tbl>
    <w:p w14:paraId="067BE518" w14:textId="77777777" w:rsidR="00F95C5B" w:rsidRPr="00ED65A3" w:rsidRDefault="00F95C5B" w:rsidP="00ED65A3">
      <w:pPr>
        <w:autoSpaceDE w:val="0"/>
        <w:autoSpaceDN w:val="0"/>
        <w:adjustRightInd w:val="0"/>
        <w:jc w:val="both"/>
        <w:rPr>
          <w:rFonts w:asciiTheme="minorHAnsi" w:hAnsiTheme="minorHAnsi" w:cs="Calibri"/>
          <w:sz w:val="28"/>
          <w:szCs w:val="28"/>
          <w:lang w:eastAsia="en-GB"/>
        </w:rPr>
      </w:pPr>
    </w:p>
    <w:sectPr w:rsidR="00F95C5B" w:rsidRPr="00ED65A3" w:rsidSect="001A76AB">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5860" w14:textId="77777777" w:rsidR="00A6318D" w:rsidRDefault="00A6318D">
      <w:r>
        <w:separator/>
      </w:r>
    </w:p>
  </w:endnote>
  <w:endnote w:type="continuationSeparator" w:id="0">
    <w:p w14:paraId="5B3E1BD5" w14:textId="77777777" w:rsidR="00A6318D" w:rsidRDefault="00A6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DD1B" w14:textId="77777777" w:rsidR="008B3C2B" w:rsidRDefault="008B3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80D3" w14:textId="77777777" w:rsidR="00DD594C" w:rsidRPr="00DD594C" w:rsidRDefault="0034509B" w:rsidP="00DD594C">
    <w:pPr>
      <w:pStyle w:val="Footer"/>
      <w:jc w:val="center"/>
      <w:rPr>
        <w:rFonts w:ascii="Arial" w:hAnsi="Arial" w:cs="Arial"/>
        <w:sz w:val="16"/>
        <w:szCs w:val="16"/>
      </w:rPr>
    </w:pPr>
    <w:r w:rsidRPr="009717F8">
      <w:rPr>
        <w:rStyle w:val="PageNumber"/>
        <w:rFonts w:ascii="Arial" w:hAnsi="Arial" w:cs="Arial"/>
        <w:sz w:val="16"/>
        <w:szCs w:val="16"/>
      </w:rPr>
      <w:t xml:space="preserve">Page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PAGE </w:instrText>
    </w:r>
    <w:r w:rsidRPr="009717F8">
      <w:rPr>
        <w:rStyle w:val="PageNumber"/>
        <w:rFonts w:ascii="Arial" w:hAnsi="Arial" w:cs="Arial"/>
        <w:sz w:val="16"/>
        <w:szCs w:val="16"/>
      </w:rPr>
      <w:fldChar w:fldCharType="separate"/>
    </w:r>
    <w:r w:rsidR="00F95C5B">
      <w:rPr>
        <w:rStyle w:val="PageNumber"/>
        <w:rFonts w:ascii="Arial" w:hAnsi="Arial" w:cs="Arial"/>
        <w:noProof/>
        <w:sz w:val="16"/>
        <w:szCs w:val="16"/>
      </w:rPr>
      <w:t>2</w:t>
    </w:r>
    <w:r w:rsidRPr="009717F8">
      <w:rPr>
        <w:rStyle w:val="PageNumber"/>
        <w:rFonts w:ascii="Arial" w:hAnsi="Arial" w:cs="Arial"/>
        <w:sz w:val="16"/>
        <w:szCs w:val="16"/>
      </w:rPr>
      <w:fldChar w:fldCharType="end"/>
    </w:r>
    <w:r w:rsidRPr="009717F8">
      <w:rPr>
        <w:rStyle w:val="PageNumber"/>
        <w:rFonts w:ascii="Arial" w:hAnsi="Arial" w:cs="Arial"/>
        <w:sz w:val="16"/>
        <w:szCs w:val="16"/>
      </w:rPr>
      <w:t xml:space="preserve"> of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NUMPAGES </w:instrText>
    </w:r>
    <w:r w:rsidRPr="009717F8">
      <w:rPr>
        <w:rStyle w:val="PageNumber"/>
        <w:rFonts w:ascii="Arial" w:hAnsi="Arial" w:cs="Arial"/>
        <w:sz w:val="16"/>
        <w:szCs w:val="16"/>
      </w:rPr>
      <w:fldChar w:fldCharType="separate"/>
    </w:r>
    <w:r w:rsidR="00F95C5B">
      <w:rPr>
        <w:rStyle w:val="PageNumber"/>
        <w:rFonts w:ascii="Arial" w:hAnsi="Arial" w:cs="Arial"/>
        <w:noProof/>
        <w:sz w:val="16"/>
        <w:szCs w:val="16"/>
      </w:rPr>
      <w:t>3</w:t>
    </w:r>
    <w:r w:rsidRPr="009717F8">
      <w:rPr>
        <w:rStyle w:val="PageNumber"/>
        <w:rFonts w:ascii="Arial" w:hAnsi="Arial" w:cs="Arial"/>
        <w:sz w:val="16"/>
        <w:szCs w:val="16"/>
      </w:rPr>
      <w:fldChar w:fldCharType="end"/>
    </w:r>
  </w:p>
  <w:p w14:paraId="24E8DA5F" w14:textId="77777777" w:rsidR="00DD594C" w:rsidRPr="009717F8" w:rsidRDefault="00DD594C">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BC7A" w14:textId="77777777" w:rsidR="008B3C2B" w:rsidRDefault="008B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D8C3" w14:textId="77777777" w:rsidR="00A6318D" w:rsidRDefault="00A6318D">
      <w:r>
        <w:separator/>
      </w:r>
    </w:p>
  </w:footnote>
  <w:footnote w:type="continuationSeparator" w:id="0">
    <w:p w14:paraId="28D16219" w14:textId="77777777" w:rsidR="00A6318D" w:rsidRDefault="00A6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5814" w14:textId="77777777" w:rsidR="008B3C2B" w:rsidRDefault="008B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0CD1" w14:textId="77777777" w:rsidR="002F25FA" w:rsidRPr="006034D5" w:rsidRDefault="005D7F5E" w:rsidP="002F25FA">
    <w:pPr>
      <w:jc w:val="right"/>
      <w:rPr>
        <w:rFonts w:ascii="Calibri" w:hAnsi="Calibri" w:cs="Calibri"/>
        <w:sz w:val="48"/>
        <w:szCs w:val="48"/>
      </w:rPr>
    </w:pPr>
    <w:r>
      <w:rPr>
        <w:noProof/>
        <w:lang w:val="en-GB" w:eastAsia="en-GB"/>
      </w:rPr>
      <w:drawing>
        <wp:anchor distT="0" distB="0" distL="114300" distR="114300" simplePos="0" relativeHeight="251657216" behindDoc="0" locked="0" layoutInCell="1" allowOverlap="1" wp14:anchorId="1AE0948D" wp14:editId="34AFAD3B">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FA" w:rsidRPr="006034D5">
      <w:rPr>
        <w:rFonts w:ascii="Calibri" w:hAnsi="Calibri" w:cs="Calibri"/>
        <w:sz w:val="48"/>
        <w:szCs w:val="48"/>
      </w:rPr>
      <w:t>Guidance</w:t>
    </w:r>
  </w:p>
  <w:p w14:paraId="526C8F7B" w14:textId="43D89AAF" w:rsidR="002F25FA" w:rsidRPr="006034D5" w:rsidRDefault="002F25FA" w:rsidP="002F25FA">
    <w:pPr>
      <w:pStyle w:val="Header"/>
      <w:jc w:val="right"/>
      <w:rPr>
        <w:rFonts w:ascii="Calibri" w:hAnsi="Calibri" w:cs="Calibri"/>
        <w:sz w:val="24"/>
        <w:szCs w:val="24"/>
      </w:rPr>
    </w:pPr>
    <w:r w:rsidRPr="006034D5">
      <w:rPr>
        <w:rFonts w:ascii="Calibri" w:hAnsi="Calibri" w:cs="Calibri"/>
        <w:sz w:val="24"/>
        <w:szCs w:val="24"/>
      </w:rPr>
      <w:t xml:space="preserve">v. </w:t>
    </w:r>
    <w:r w:rsidR="008B3C2B">
      <w:rPr>
        <w:rFonts w:ascii="Calibri" w:hAnsi="Calibri" w:cs="Calibri"/>
        <w:sz w:val="24"/>
        <w:szCs w:val="24"/>
      </w:rPr>
      <w:t>Jan-24</w:t>
    </w:r>
  </w:p>
  <w:p w14:paraId="29C94E8E" w14:textId="77777777" w:rsidR="002F25FA" w:rsidRPr="006034D5" w:rsidRDefault="002F25FA" w:rsidP="002F25FA">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2AD77481" w14:textId="39843410" w:rsidR="007806EC" w:rsidRPr="007806EC" w:rsidRDefault="00F63039" w:rsidP="007806EC">
    <w:pPr>
      <w:rPr>
        <w:rFonts w:ascii="Calibri" w:hAnsi="Calibri" w:cs="Calibri"/>
        <w:sz w:val="28"/>
        <w:szCs w:val="28"/>
      </w:rPr>
    </w:pPr>
    <w:r>
      <w:rPr>
        <w:rFonts w:ascii="Calibri" w:hAnsi="Calibri" w:cs="Calibri"/>
        <w:sz w:val="28"/>
        <w:szCs w:val="28"/>
      </w:rPr>
      <w:t xml:space="preserve">Funding Agreement Guidance - </w:t>
    </w:r>
    <w:r w:rsidR="005C54CD">
      <w:rPr>
        <w:rFonts w:ascii="Calibri" w:hAnsi="Calibri" w:cs="Calibri"/>
        <w:sz w:val="28"/>
        <w:szCs w:val="28"/>
      </w:rPr>
      <w:t>Admissions</w:t>
    </w:r>
    <w:r w:rsidR="000205B7">
      <w:rPr>
        <w:rFonts w:ascii="Calibri" w:hAnsi="Calibri" w:cs="Calibri"/>
        <w:sz w:val="28"/>
        <w:szCs w:val="28"/>
      </w:rPr>
      <w:t xml:space="preserve"> Policy</w:t>
    </w:r>
  </w:p>
  <w:p w14:paraId="269D4751" w14:textId="77777777" w:rsidR="002F25FA" w:rsidRPr="00D71EF4" w:rsidRDefault="005D7F5E" w:rsidP="002F25FA">
    <w:pPr>
      <w:rPr>
        <w:rFonts w:ascii="Arial" w:hAnsi="Arial" w:cs="Arial"/>
        <w:sz w:val="28"/>
        <w:szCs w:val="28"/>
      </w:rPr>
    </w:pPr>
    <w:r>
      <w:rPr>
        <w:noProof/>
        <w:lang w:val="en-GB" w:eastAsia="en-GB"/>
      </w:rPr>
      <mc:AlternateContent>
        <mc:Choice Requires="wps">
          <w:drawing>
            <wp:anchor distT="4294967294" distB="4294967294" distL="114300" distR="114300" simplePos="0" relativeHeight="251658240" behindDoc="0" locked="0" layoutInCell="1" allowOverlap="1" wp14:anchorId="529584C4" wp14:editId="4D132A9B">
              <wp:simplePos x="0" y="0"/>
              <wp:positionH relativeFrom="column">
                <wp:align>center</wp:align>
              </wp:positionH>
              <wp:positionV relativeFrom="paragraph">
                <wp:posOffset>43179</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5BD1" id="Line 4" o:spid="_x0000_s1026" style="position:absolute;z-index:2516582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4BEE" w14:textId="77777777" w:rsidR="008B3C2B" w:rsidRDefault="008B3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20A"/>
    <w:multiLevelType w:val="hybridMultilevel"/>
    <w:tmpl w:val="340C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3AE7"/>
    <w:multiLevelType w:val="hybridMultilevel"/>
    <w:tmpl w:val="E462221E"/>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E74AF"/>
    <w:multiLevelType w:val="hybridMultilevel"/>
    <w:tmpl w:val="5C0E2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315E7"/>
    <w:multiLevelType w:val="hybridMultilevel"/>
    <w:tmpl w:val="F380F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1790F"/>
    <w:multiLevelType w:val="hybridMultilevel"/>
    <w:tmpl w:val="993A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F493C"/>
    <w:multiLevelType w:val="hybridMultilevel"/>
    <w:tmpl w:val="88989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B6D39"/>
    <w:multiLevelType w:val="hybridMultilevel"/>
    <w:tmpl w:val="50C03768"/>
    <w:lvl w:ilvl="0" w:tplc="1814092C">
      <w:numFmt w:val="bullet"/>
      <w:lvlText w:val=""/>
      <w:lvlJc w:val="left"/>
      <w:pPr>
        <w:tabs>
          <w:tab w:val="num" w:pos="360"/>
        </w:tabs>
        <w:ind w:left="360" w:hanging="360"/>
      </w:pPr>
      <w:rPr>
        <w:rFonts w:ascii="Wingdings" w:eastAsia="Stencil" w:hAnsi="Wingdings" w:cs="Stenci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3398E"/>
    <w:multiLevelType w:val="hybridMultilevel"/>
    <w:tmpl w:val="7726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3"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4" w15:restartNumberingAfterBreak="0">
    <w:nsid w:val="5423063D"/>
    <w:multiLevelType w:val="hybridMultilevel"/>
    <w:tmpl w:val="1F820924"/>
    <w:lvl w:ilvl="0" w:tplc="E37A6780">
      <w:start w:val="1"/>
      <w:numFmt w:val="bullet"/>
      <w:lvlText w:val="•"/>
      <w:lvlJc w:val="left"/>
      <w:pPr>
        <w:tabs>
          <w:tab w:val="num" w:pos="720"/>
        </w:tabs>
        <w:ind w:left="720" w:hanging="360"/>
      </w:pPr>
      <w:rPr>
        <w:rFonts w:ascii="Times New Roman" w:hAnsi="Times New Roman" w:hint="default"/>
      </w:rPr>
    </w:lvl>
    <w:lvl w:ilvl="1" w:tplc="33722978" w:tentative="1">
      <w:start w:val="1"/>
      <w:numFmt w:val="bullet"/>
      <w:lvlText w:val="•"/>
      <w:lvlJc w:val="left"/>
      <w:pPr>
        <w:tabs>
          <w:tab w:val="num" w:pos="1440"/>
        </w:tabs>
        <w:ind w:left="1440" w:hanging="360"/>
      </w:pPr>
      <w:rPr>
        <w:rFonts w:ascii="Times New Roman" w:hAnsi="Times New Roman" w:hint="default"/>
      </w:rPr>
    </w:lvl>
    <w:lvl w:ilvl="2" w:tplc="4B5ED60C" w:tentative="1">
      <w:start w:val="1"/>
      <w:numFmt w:val="bullet"/>
      <w:lvlText w:val="•"/>
      <w:lvlJc w:val="left"/>
      <w:pPr>
        <w:tabs>
          <w:tab w:val="num" w:pos="2160"/>
        </w:tabs>
        <w:ind w:left="2160" w:hanging="360"/>
      </w:pPr>
      <w:rPr>
        <w:rFonts w:ascii="Times New Roman" w:hAnsi="Times New Roman" w:hint="default"/>
      </w:rPr>
    </w:lvl>
    <w:lvl w:ilvl="3" w:tplc="21E0E0A6" w:tentative="1">
      <w:start w:val="1"/>
      <w:numFmt w:val="bullet"/>
      <w:lvlText w:val="•"/>
      <w:lvlJc w:val="left"/>
      <w:pPr>
        <w:tabs>
          <w:tab w:val="num" w:pos="2880"/>
        </w:tabs>
        <w:ind w:left="2880" w:hanging="360"/>
      </w:pPr>
      <w:rPr>
        <w:rFonts w:ascii="Times New Roman" w:hAnsi="Times New Roman" w:hint="default"/>
      </w:rPr>
    </w:lvl>
    <w:lvl w:ilvl="4" w:tplc="D9A66D24" w:tentative="1">
      <w:start w:val="1"/>
      <w:numFmt w:val="bullet"/>
      <w:lvlText w:val="•"/>
      <w:lvlJc w:val="left"/>
      <w:pPr>
        <w:tabs>
          <w:tab w:val="num" w:pos="3600"/>
        </w:tabs>
        <w:ind w:left="3600" w:hanging="360"/>
      </w:pPr>
      <w:rPr>
        <w:rFonts w:ascii="Times New Roman" w:hAnsi="Times New Roman" w:hint="default"/>
      </w:rPr>
    </w:lvl>
    <w:lvl w:ilvl="5" w:tplc="94228B62" w:tentative="1">
      <w:start w:val="1"/>
      <w:numFmt w:val="bullet"/>
      <w:lvlText w:val="•"/>
      <w:lvlJc w:val="left"/>
      <w:pPr>
        <w:tabs>
          <w:tab w:val="num" w:pos="4320"/>
        </w:tabs>
        <w:ind w:left="4320" w:hanging="360"/>
      </w:pPr>
      <w:rPr>
        <w:rFonts w:ascii="Times New Roman" w:hAnsi="Times New Roman" w:hint="default"/>
      </w:rPr>
    </w:lvl>
    <w:lvl w:ilvl="6" w:tplc="9BC8BC74" w:tentative="1">
      <w:start w:val="1"/>
      <w:numFmt w:val="bullet"/>
      <w:lvlText w:val="•"/>
      <w:lvlJc w:val="left"/>
      <w:pPr>
        <w:tabs>
          <w:tab w:val="num" w:pos="5040"/>
        </w:tabs>
        <w:ind w:left="5040" w:hanging="360"/>
      </w:pPr>
      <w:rPr>
        <w:rFonts w:ascii="Times New Roman" w:hAnsi="Times New Roman" w:hint="default"/>
      </w:rPr>
    </w:lvl>
    <w:lvl w:ilvl="7" w:tplc="3F3063D2" w:tentative="1">
      <w:start w:val="1"/>
      <w:numFmt w:val="bullet"/>
      <w:lvlText w:val="•"/>
      <w:lvlJc w:val="left"/>
      <w:pPr>
        <w:tabs>
          <w:tab w:val="num" w:pos="5760"/>
        </w:tabs>
        <w:ind w:left="5760" w:hanging="360"/>
      </w:pPr>
      <w:rPr>
        <w:rFonts w:ascii="Times New Roman" w:hAnsi="Times New Roman" w:hint="default"/>
      </w:rPr>
    </w:lvl>
    <w:lvl w:ilvl="8" w:tplc="DD96786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6E51BA"/>
    <w:multiLevelType w:val="hybridMultilevel"/>
    <w:tmpl w:val="284A2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2671F"/>
    <w:multiLevelType w:val="hybridMultilevel"/>
    <w:tmpl w:val="DA82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B57CD"/>
    <w:multiLevelType w:val="hybridMultilevel"/>
    <w:tmpl w:val="E17CE2CA"/>
    <w:lvl w:ilvl="0" w:tplc="16925558">
      <w:start w:val="1"/>
      <w:numFmt w:val="bullet"/>
      <w:lvlText w:val=""/>
      <w:lvlJc w:val="left"/>
      <w:pPr>
        <w:ind w:left="-414" w:hanging="360"/>
      </w:pPr>
      <w:rPr>
        <w:rFonts w:ascii="Symbol" w:hAnsi="Symbol" w:hint="default"/>
        <w:sz w:val="16"/>
        <w:szCs w:val="16"/>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1" w15:restartNumberingAfterBreak="0">
    <w:nsid w:val="772461C3"/>
    <w:multiLevelType w:val="hybridMultilevel"/>
    <w:tmpl w:val="5DCE37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2" w15:restartNumberingAfterBreak="0">
    <w:nsid w:val="7F8614D3"/>
    <w:multiLevelType w:val="hybridMultilevel"/>
    <w:tmpl w:val="3356DAF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287905810">
    <w:abstractNumId w:val="4"/>
  </w:num>
  <w:num w:numId="2" w16cid:durableId="809908793">
    <w:abstractNumId w:val="11"/>
  </w:num>
  <w:num w:numId="3" w16cid:durableId="1237278433">
    <w:abstractNumId w:val="13"/>
  </w:num>
  <w:num w:numId="4" w16cid:durableId="1078749587">
    <w:abstractNumId w:val="12"/>
  </w:num>
  <w:num w:numId="5" w16cid:durableId="200826061">
    <w:abstractNumId w:val="5"/>
  </w:num>
  <w:num w:numId="6" w16cid:durableId="2081556205">
    <w:abstractNumId w:val="16"/>
  </w:num>
  <w:num w:numId="7" w16cid:durableId="995761141">
    <w:abstractNumId w:val="8"/>
  </w:num>
  <w:num w:numId="8" w16cid:durableId="1013648786">
    <w:abstractNumId w:val="9"/>
  </w:num>
  <w:num w:numId="9" w16cid:durableId="347105162">
    <w:abstractNumId w:val="18"/>
  </w:num>
  <w:num w:numId="10" w16cid:durableId="1301300686">
    <w:abstractNumId w:val="19"/>
  </w:num>
  <w:num w:numId="11" w16cid:durableId="2107844065">
    <w:abstractNumId w:val="1"/>
  </w:num>
  <w:num w:numId="12" w16cid:durableId="432165491">
    <w:abstractNumId w:val="14"/>
  </w:num>
  <w:num w:numId="13" w16cid:durableId="1262837813">
    <w:abstractNumId w:val="0"/>
  </w:num>
  <w:num w:numId="14" w16cid:durableId="310334229">
    <w:abstractNumId w:val="2"/>
  </w:num>
  <w:num w:numId="15" w16cid:durableId="948389375">
    <w:abstractNumId w:val="15"/>
  </w:num>
  <w:num w:numId="16" w16cid:durableId="104350712">
    <w:abstractNumId w:val="3"/>
  </w:num>
  <w:num w:numId="17" w16cid:durableId="1563634757">
    <w:abstractNumId w:val="22"/>
  </w:num>
  <w:num w:numId="18" w16cid:durableId="1721980102">
    <w:abstractNumId w:val="20"/>
  </w:num>
  <w:num w:numId="19" w16cid:durableId="1959558905">
    <w:abstractNumId w:val="21"/>
  </w:num>
  <w:num w:numId="20" w16cid:durableId="1646663939">
    <w:abstractNumId w:val="7"/>
  </w:num>
  <w:num w:numId="21" w16cid:durableId="1057585325">
    <w:abstractNumId w:val="10"/>
  </w:num>
  <w:num w:numId="22" w16cid:durableId="1407652530">
    <w:abstractNumId w:val="17"/>
  </w:num>
  <w:num w:numId="23" w16cid:durableId="182493184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BIEYf/ofTon6wJgiyMp5O2bmmAp7uRlTmJhYJKJR71y5hAqUDUeV7jQWREEERHU46lyZx2g8CjwGwXZe2jzIQ==" w:salt="kIF4jMBqd9rkNsPfvhtyR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3BC8"/>
    <w:rsid w:val="00017D6B"/>
    <w:rsid w:val="000205B7"/>
    <w:rsid w:val="000362C4"/>
    <w:rsid w:val="00057558"/>
    <w:rsid w:val="000647CB"/>
    <w:rsid w:val="000754FB"/>
    <w:rsid w:val="00075CF2"/>
    <w:rsid w:val="00095DA9"/>
    <w:rsid w:val="000A5374"/>
    <w:rsid w:val="000B784B"/>
    <w:rsid w:val="000C0A47"/>
    <w:rsid w:val="000E0C8D"/>
    <w:rsid w:val="000F568E"/>
    <w:rsid w:val="000F7244"/>
    <w:rsid w:val="00130AAE"/>
    <w:rsid w:val="001458A0"/>
    <w:rsid w:val="0015524C"/>
    <w:rsid w:val="001603CB"/>
    <w:rsid w:val="001675AD"/>
    <w:rsid w:val="001736F7"/>
    <w:rsid w:val="00190053"/>
    <w:rsid w:val="00192990"/>
    <w:rsid w:val="001A76AB"/>
    <w:rsid w:val="001B3700"/>
    <w:rsid w:val="001D70F0"/>
    <w:rsid w:val="001E4C21"/>
    <w:rsid w:val="001E4D28"/>
    <w:rsid w:val="001F0A58"/>
    <w:rsid w:val="002136A6"/>
    <w:rsid w:val="00222904"/>
    <w:rsid w:val="0023313A"/>
    <w:rsid w:val="00261223"/>
    <w:rsid w:val="002709A4"/>
    <w:rsid w:val="00281886"/>
    <w:rsid w:val="00285425"/>
    <w:rsid w:val="002A32BF"/>
    <w:rsid w:val="002D7DD2"/>
    <w:rsid w:val="002E5370"/>
    <w:rsid w:val="002F11E5"/>
    <w:rsid w:val="002F25FA"/>
    <w:rsid w:val="00300470"/>
    <w:rsid w:val="003252AB"/>
    <w:rsid w:val="00325B83"/>
    <w:rsid w:val="003434C4"/>
    <w:rsid w:val="0034509B"/>
    <w:rsid w:val="003627CE"/>
    <w:rsid w:val="00364935"/>
    <w:rsid w:val="003A69DA"/>
    <w:rsid w:val="003B0A39"/>
    <w:rsid w:val="003D1815"/>
    <w:rsid w:val="003D189C"/>
    <w:rsid w:val="003D72F9"/>
    <w:rsid w:val="003E228F"/>
    <w:rsid w:val="003F1836"/>
    <w:rsid w:val="003F5C2B"/>
    <w:rsid w:val="003F6EB3"/>
    <w:rsid w:val="00403722"/>
    <w:rsid w:val="00406B6C"/>
    <w:rsid w:val="00420B97"/>
    <w:rsid w:val="00437A53"/>
    <w:rsid w:val="00443192"/>
    <w:rsid w:val="0045106A"/>
    <w:rsid w:val="004805E9"/>
    <w:rsid w:val="004915D7"/>
    <w:rsid w:val="004B4514"/>
    <w:rsid w:val="004C5F37"/>
    <w:rsid w:val="004C668A"/>
    <w:rsid w:val="004E7F48"/>
    <w:rsid w:val="004F1FDC"/>
    <w:rsid w:val="005072FE"/>
    <w:rsid w:val="00514022"/>
    <w:rsid w:val="005165D0"/>
    <w:rsid w:val="00524ED5"/>
    <w:rsid w:val="0052754B"/>
    <w:rsid w:val="00531996"/>
    <w:rsid w:val="00542D14"/>
    <w:rsid w:val="0055036B"/>
    <w:rsid w:val="00567F49"/>
    <w:rsid w:val="00596A86"/>
    <w:rsid w:val="00597BCD"/>
    <w:rsid w:val="005B4AA1"/>
    <w:rsid w:val="005C1EB4"/>
    <w:rsid w:val="005C54CD"/>
    <w:rsid w:val="005D7F5E"/>
    <w:rsid w:val="005E09DE"/>
    <w:rsid w:val="005E5AB6"/>
    <w:rsid w:val="005F6D9C"/>
    <w:rsid w:val="005F7ABD"/>
    <w:rsid w:val="006069CA"/>
    <w:rsid w:val="006202B6"/>
    <w:rsid w:val="00633F7A"/>
    <w:rsid w:val="00635E47"/>
    <w:rsid w:val="00637361"/>
    <w:rsid w:val="00646931"/>
    <w:rsid w:val="00676EF9"/>
    <w:rsid w:val="00696FEA"/>
    <w:rsid w:val="006A2E09"/>
    <w:rsid w:val="006B250F"/>
    <w:rsid w:val="006C52BC"/>
    <w:rsid w:val="006C5B7D"/>
    <w:rsid w:val="006E4331"/>
    <w:rsid w:val="006F0865"/>
    <w:rsid w:val="006F2A7B"/>
    <w:rsid w:val="00703D11"/>
    <w:rsid w:val="0070525E"/>
    <w:rsid w:val="00714F8A"/>
    <w:rsid w:val="00715874"/>
    <w:rsid w:val="007328DD"/>
    <w:rsid w:val="007637B7"/>
    <w:rsid w:val="007806EC"/>
    <w:rsid w:val="007C44B5"/>
    <w:rsid w:val="007C6D56"/>
    <w:rsid w:val="007E01C8"/>
    <w:rsid w:val="00814778"/>
    <w:rsid w:val="00824C95"/>
    <w:rsid w:val="00895D02"/>
    <w:rsid w:val="008A2B5A"/>
    <w:rsid w:val="008A4541"/>
    <w:rsid w:val="008A7E3B"/>
    <w:rsid w:val="008B3C2B"/>
    <w:rsid w:val="008D02B2"/>
    <w:rsid w:val="008E3BCC"/>
    <w:rsid w:val="008E5A8B"/>
    <w:rsid w:val="008F0E41"/>
    <w:rsid w:val="008F740A"/>
    <w:rsid w:val="00900155"/>
    <w:rsid w:val="00900A9F"/>
    <w:rsid w:val="00905A4E"/>
    <w:rsid w:val="00914200"/>
    <w:rsid w:val="00931121"/>
    <w:rsid w:val="00933561"/>
    <w:rsid w:val="009717F8"/>
    <w:rsid w:val="009779F0"/>
    <w:rsid w:val="00981372"/>
    <w:rsid w:val="009855A0"/>
    <w:rsid w:val="00986E6C"/>
    <w:rsid w:val="009A0562"/>
    <w:rsid w:val="009B2E3E"/>
    <w:rsid w:val="009B5A04"/>
    <w:rsid w:val="009D4B76"/>
    <w:rsid w:val="009E4384"/>
    <w:rsid w:val="00A12DE4"/>
    <w:rsid w:val="00A16266"/>
    <w:rsid w:val="00A23C77"/>
    <w:rsid w:val="00A32728"/>
    <w:rsid w:val="00A426C3"/>
    <w:rsid w:val="00A47FEA"/>
    <w:rsid w:val="00A54B7E"/>
    <w:rsid w:val="00A61D56"/>
    <w:rsid w:val="00A6318D"/>
    <w:rsid w:val="00A72496"/>
    <w:rsid w:val="00A73950"/>
    <w:rsid w:val="00A76364"/>
    <w:rsid w:val="00A830C6"/>
    <w:rsid w:val="00A86B7D"/>
    <w:rsid w:val="00A96613"/>
    <w:rsid w:val="00AA4EEA"/>
    <w:rsid w:val="00AB33FD"/>
    <w:rsid w:val="00AB56B6"/>
    <w:rsid w:val="00AC1912"/>
    <w:rsid w:val="00AD09D2"/>
    <w:rsid w:val="00AF259B"/>
    <w:rsid w:val="00B14BE2"/>
    <w:rsid w:val="00B2284B"/>
    <w:rsid w:val="00B46B62"/>
    <w:rsid w:val="00B8558B"/>
    <w:rsid w:val="00BB1686"/>
    <w:rsid w:val="00BB38E7"/>
    <w:rsid w:val="00BB7508"/>
    <w:rsid w:val="00BC52ED"/>
    <w:rsid w:val="00BC5D46"/>
    <w:rsid w:val="00BD4B7F"/>
    <w:rsid w:val="00BD74EF"/>
    <w:rsid w:val="00BF0660"/>
    <w:rsid w:val="00BF155A"/>
    <w:rsid w:val="00C07628"/>
    <w:rsid w:val="00C10EAA"/>
    <w:rsid w:val="00C23596"/>
    <w:rsid w:val="00C538F4"/>
    <w:rsid w:val="00C56F69"/>
    <w:rsid w:val="00C6610E"/>
    <w:rsid w:val="00C6633A"/>
    <w:rsid w:val="00C93F03"/>
    <w:rsid w:val="00CA6B4F"/>
    <w:rsid w:val="00CE1DDE"/>
    <w:rsid w:val="00CE4347"/>
    <w:rsid w:val="00D245DA"/>
    <w:rsid w:val="00D27921"/>
    <w:rsid w:val="00D357C8"/>
    <w:rsid w:val="00D37FCF"/>
    <w:rsid w:val="00D519FE"/>
    <w:rsid w:val="00D719A8"/>
    <w:rsid w:val="00D76CC3"/>
    <w:rsid w:val="00DA15EB"/>
    <w:rsid w:val="00DA55A9"/>
    <w:rsid w:val="00DA656A"/>
    <w:rsid w:val="00DA7831"/>
    <w:rsid w:val="00DB6CCF"/>
    <w:rsid w:val="00DD594C"/>
    <w:rsid w:val="00DD70E8"/>
    <w:rsid w:val="00DE1DA9"/>
    <w:rsid w:val="00DF54A5"/>
    <w:rsid w:val="00E41FBE"/>
    <w:rsid w:val="00E50355"/>
    <w:rsid w:val="00E53E25"/>
    <w:rsid w:val="00E64B89"/>
    <w:rsid w:val="00E6746F"/>
    <w:rsid w:val="00E82D8D"/>
    <w:rsid w:val="00E96A9C"/>
    <w:rsid w:val="00EB70B8"/>
    <w:rsid w:val="00EC7719"/>
    <w:rsid w:val="00ED65A3"/>
    <w:rsid w:val="00EE708D"/>
    <w:rsid w:val="00EF6026"/>
    <w:rsid w:val="00F0194D"/>
    <w:rsid w:val="00F03899"/>
    <w:rsid w:val="00F17FEE"/>
    <w:rsid w:val="00F21787"/>
    <w:rsid w:val="00F23569"/>
    <w:rsid w:val="00F30220"/>
    <w:rsid w:val="00F46EBE"/>
    <w:rsid w:val="00F5118D"/>
    <w:rsid w:val="00F543CE"/>
    <w:rsid w:val="00F556E4"/>
    <w:rsid w:val="00F57B79"/>
    <w:rsid w:val="00F63039"/>
    <w:rsid w:val="00F808F0"/>
    <w:rsid w:val="00F80A99"/>
    <w:rsid w:val="00F80BB9"/>
    <w:rsid w:val="00F82E39"/>
    <w:rsid w:val="00F86A7F"/>
    <w:rsid w:val="00F95C5B"/>
    <w:rsid w:val="00FB2186"/>
    <w:rsid w:val="00FB33BD"/>
    <w:rsid w:val="00FC764D"/>
    <w:rsid w:val="00FD3E28"/>
    <w:rsid w:val="00FD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A0800"/>
  <w15:chartTrackingRefBased/>
  <w15:docId w15:val="{EE0F6E02-1AAC-42BA-998F-B3B5867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uiPriority w:val="39"/>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732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718748351">
      <w:bodyDiv w:val="1"/>
      <w:marLeft w:val="0"/>
      <w:marRight w:val="0"/>
      <w:marTop w:val="0"/>
      <w:marBottom w:val="0"/>
      <w:divBdr>
        <w:top w:val="none" w:sz="0" w:space="0" w:color="auto"/>
        <w:left w:val="none" w:sz="0" w:space="0" w:color="auto"/>
        <w:bottom w:val="none" w:sz="0" w:space="0" w:color="auto"/>
        <w:right w:val="none" w:sz="0" w:space="0" w:color="auto"/>
      </w:divBdr>
    </w:div>
    <w:div w:id="975255427">
      <w:bodyDiv w:val="1"/>
      <w:marLeft w:val="0"/>
      <w:marRight w:val="0"/>
      <w:marTop w:val="0"/>
      <w:marBottom w:val="0"/>
      <w:divBdr>
        <w:top w:val="none" w:sz="0" w:space="0" w:color="auto"/>
        <w:left w:val="none" w:sz="0" w:space="0" w:color="auto"/>
        <w:bottom w:val="none" w:sz="0" w:space="0" w:color="auto"/>
        <w:right w:val="none" w:sz="0" w:space="0" w:color="auto"/>
      </w:divBdr>
      <w:divsChild>
        <w:div w:id="1052532840">
          <w:marLeft w:val="547"/>
          <w:marRight w:val="0"/>
          <w:marTop w:val="0"/>
          <w:marBottom w:val="0"/>
          <w:divBdr>
            <w:top w:val="none" w:sz="0" w:space="0" w:color="auto"/>
            <w:left w:val="none" w:sz="0" w:space="0" w:color="auto"/>
            <w:bottom w:val="none" w:sz="0" w:space="0" w:color="auto"/>
            <w:right w:val="none" w:sz="0" w:space="0" w:color="auto"/>
          </w:divBdr>
        </w:div>
        <w:div w:id="1261719893">
          <w:marLeft w:val="547"/>
          <w:marRight w:val="0"/>
          <w:marTop w:val="0"/>
          <w:marBottom w:val="0"/>
          <w:divBdr>
            <w:top w:val="none" w:sz="0" w:space="0" w:color="auto"/>
            <w:left w:val="none" w:sz="0" w:space="0" w:color="auto"/>
            <w:bottom w:val="none" w:sz="0" w:space="0" w:color="auto"/>
            <w:right w:val="none" w:sz="0" w:space="0" w:color="auto"/>
          </w:divBdr>
        </w:div>
      </w:divsChild>
    </w:div>
    <w:div w:id="1479105605">
      <w:bodyDiv w:val="1"/>
      <w:marLeft w:val="0"/>
      <w:marRight w:val="0"/>
      <w:marTop w:val="0"/>
      <w:marBottom w:val="0"/>
      <w:divBdr>
        <w:top w:val="none" w:sz="0" w:space="0" w:color="auto"/>
        <w:left w:val="none" w:sz="0" w:space="0" w:color="auto"/>
        <w:bottom w:val="none" w:sz="0" w:space="0" w:color="auto"/>
        <w:right w:val="none" w:sz="0" w:space="0" w:color="auto"/>
      </w:divBdr>
      <w:divsChild>
        <w:div w:id="1612780715">
          <w:marLeft w:val="547"/>
          <w:marRight w:val="0"/>
          <w:marTop w:val="0"/>
          <w:marBottom w:val="0"/>
          <w:divBdr>
            <w:top w:val="none" w:sz="0" w:space="0" w:color="auto"/>
            <w:left w:val="none" w:sz="0" w:space="0" w:color="auto"/>
            <w:bottom w:val="none" w:sz="0" w:space="0" w:color="auto"/>
            <w:right w:val="none" w:sz="0" w:space="0" w:color="auto"/>
          </w:divBdr>
        </w:div>
        <w:div w:id="9067210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dfes-30-hour-mixed-model-partnership-toolk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early-education-and-childcare--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1449</Words>
  <Characters>8263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9693</CharactersWithSpaces>
  <SharedDoc>false</SharedDoc>
  <HLinks>
    <vt:vector size="6" baseType="variant">
      <vt:variant>
        <vt:i4>6553613</vt:i4>
      </vt:variant>
      <vt:variant>
        <vt:i4>0</vt:i4>
      </vt:variant>
      <vt:variant>
        <vt:i4>0</vt:i4>
      </vt:variant>
      <vt:variant>
        <vt:i4>5</vt:i4>
      </vt:variant>
      <vt:variant>
        <vt:lpwstr>mailto:earlyyearsfinance@norfolk.gov.uk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Su Rushbrook</cp:lastModifiedBy>
  <cp:revision>52</cp:revision>
  <cp:lastPrinted>2017-05-02T06:54:00Z</cp:lastPrinted>
  <dcterms:created xsi:type="dcterms:W3CDTF">2017-05-02T18:07:00Z</dcterms:created>
  <dcterms:modified xsi:type="dcterms:W3CDTF">2024-02-28T07:08:00Z</dcterms:modified>
</cp:coreProperties>
</file>