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F1A2" w14:textId="77777777" w:rsidR="00DE5ACF" w:rsidRPr="00563561" w:rsidRDefault="00DE5ACF" w:rsidP="00DE5ACF">
      <w:pPr>
        <w:jc w:val="center"/>
        <w:rPr>
          <w:rFonts w:cs="Arial"/>
          <w:b/>
          <w:bCs/>
          <w:szCs w:val="24"/>
          <w:lang w:val="en-US" w:eastAsia="en-GB"/>
        </w:rPr>
      </w:pPr>
      <w:r w:rsidRPr="00563561">
        <w:rPr>
          <w:rFonts w:cs="Arial"/>
          <w:b/>
          <w:bCs/>
          <w:szCs w:val="24"/>
          <w:lang w:val="en-US" w:eastAsia="en-GB"/>
        </w:rPr>
        <w:t xml:space="preserve">Whole School Audit Tool – </w:t>
      </w:r>
      <w:r>
        <w:rPr>
          <w:rFonts w:cs="Arial"/>
          <w:b/>
          <w:bCs/>
          <w:szCs w:val="24"/>
          <w:lang w:val="en-US" w:eastAsia="en-GB"/>
        </w:rPr>
        <w:t>Anti-Bullying</w:t>
      </w:r>
    </w:p>
    <w:p w14:paraId="193CD1A9" w14:textId="77777777" w:rsidR="00DE5ACF" w:rsidRDefault="00DE5ACF" w:rsidP="00DE5ACF">
      <w:pPr>
        <w:tabs>
          <w:tab w:val="left" w:pos="3504"/>
        </w:tabs>
        <w:rPr>
          <w:rFonts w:cs="Arial"/>
          <w:szCs w:val="24"/>
          <w:lang w:val="en-US"/>
        </w:rPr>
      </w:pPr>
    </w:p>
    <w:p w14:paraId="4D43F2F8" w14:textId="77777777" w:rsidR="00DE5ACF" w:rsidRPr="00DE5ACF" w:rsidRDefault="00DE5ACF" w:rsidP="00DE5ACF">
      <w:pPr>
        <w:tabs>
          <w:tab w:val="left" w:pos="3504"/>
        </w:tabs>
        <w:rPr>
          <w:rFonts w:cs="Arial"/>
          <w:szCs w:val="24"/>
          <w:lang w:val="en-US"/>
        </w:rPr>
      </w:pPr>
      <w:r w:rsidRPr="00DE5ACF">
        <w:rPr>
          <w:rFonts w:cs="Arial"/>
          <w:szCs w:val="24"/>
          <w:lang w:val="en-US"/>
        </w:rPr>
        <w:t xml:space="preserve">This audit aims to help schools evaluate the current culture and environment of their school and provide questions to reflect on what they do currently and consider where improvements can be made to create a more inclusive culture and environment to prevent bullying.  Bullying in this audit tool includes </w:t>
      </w:r>
      <w:r>
        <w:rPr>
          <w:rFonts w:cs="Arial"/>
          <w:szCs w:val="24"/>
          <w:lang w:val="en-US"/>
        </w:rPr>
        <w:t xml:space="preserve">not </w:t>
      </w:r>
      <w:r w:rsidRPr="00DE5ACF">
        <w:rPr>
          <w:rFonts w:cs="Arial"/>
          <w:szCs w:val="24"/>
          <w:lang w:val="en-US"/>
        </w:rPr>
        <w:t xml:space="preserve">only prejudice-based bullying such as islamophobia, anti LGBT+ and anti GRT but also highlights bullying such as body shape and economic status.  </w:t>
      </w:r>
    </w:p>
    <w:p w14:paraId="42CD053C" w14:textId="77777777" w:rsidR="00DE5ACF" w:rsidRPr="00DE5ACF" w:rsidRDefault="00DE5ACF" w:rsidP="00DE5ACF">
      <w:pPr>
        <w:tabs>
          <w:tab w:val="left" w:pos="3504"/>
        </w:tabs>
        <w:rPr>
          <w:rFonts w:cs="Arial"/>
          <w:szCs w:val="24"/>
          <w:lang w:val="en-US"/>
        </w:rPr>
      </w:pPr>
    </w:p>
    <w:p w14:paraId="4E4EB346" w14:textId="77777777" w:rsidR="00DE5ACF" w:rsidRPr="00DE5ACF" w:rsidRDefault="00DE5ACF" w:rsidP="00DE5ACF">
      <w:pPr>
        <w:tabs>
          <w:tab w:val="left" w:pos="3504"/>
        </w:tabs>
        <w:rPr>
          <w:rFonts w:cs="Arial"/>
          <w:szCs w:val="24"/>
          <w:lang w:val="en-US"/>
        </w:rPr>
      </w:pPr>
      <w:r w:rsidRPr="00DE5ACF">
        <w:rPr>
          <w:rFonts w:cs="Arial"/>
          <w:szCs w:val="24"/>
          <w:lang w:val="en-US"/>
        </w:rPr>
        <w:t xml:space="preserve">How to use: </w:t>
      </w:r>
    </w:p>
    <w:p w14:paraId="3C407486" w14:textId="77777777" w:rsidR="00DE5ACF" w:rsidRPr="00DE5ACF" w:rsidRDefault="00DE5ACF" w:rsidP="00DE5ACF">
      <w:pPr>
        <w:tabs>
          <w:tab w:val="left" w:pos="3504"/>
        </w:tabs>
        <w:rPr>
          <w:rFonts w:cs="Arial"/>
          <w:szCs w:val="24"/>
          <w:lang w:val="en-US"/>
        </w:rPr>
      </w:pPr>
      <w:r w:rsidRPr="00DE5ACF">
        <w:rPr>
          <w:rFonts w:cs="Arial"/>
          <w:szCs w:val="24"/>
          <w:lang w:val="en-US"/>
        </w:rPr>
        <w:t>•</w:t>
      </w:r>
      <w:r>
        <w:rPr>
          <w:rFonts w:cs="Arial"/>
          <w:szCs w:val="24"/>
          <w:lang w:val="en-US"/>
        </w:rPr>
        <w:t xml:space="preserve"> </w:t>
      </w:r>
      <w:r w:rsidRPr="00DE5ACF">
        <w:rPr>
          <w:rFonts w:cs="Arial"/>
          <w:szCs w:val="24"/>
          <w:lang w:val="en-US"/>
        </w:rPr>
        <w:t xml:space="preserve">Read the statements. </w:t>
      </w:r>
    </w:p>
    <w:p w14:paraId="0FC30855" w14:textId="0018231A" w:rsidR="00DE5ACF" w:rsidRPr="00DE5ACF" w:rsidRDefault="00DE5ACF" w:rsidP="00DE5ACF">
      <w:pPr>
        <w:tabs>
          <w:tab w:val="left" w:pos="3504"/>
        </w:tabs>
        <w:rPr>
          <w:rFonts w:cs="Arial"/>
          <w:szCs w:val="24"/>
          <w:lang w:val="en-US"/>
        </w:rPr>
      </w:pPr>
      <w:r w:rsidRPr="00DE5ACF">
        <w:rPr>
          <w:rFonts w:cs="Arial"/>
          <w:szCs w:val="24"/>
          <w:lang w:val="en-US"/>
        </w:rPr>
        <w:t>•</w:t>
      </w:r>
      <w:r>
        <w:rPr>
          <w:rFonts w:cs="Arial"/>
          <w:szCs w:val="24"/>
          <w:lang w:val="en-US"/>
        </w:rPr>
        <w:t xml:space="preserve"> </w:t>
      </w:r>
      <w:r w:rsidRPr="00DE5ACF">
        <w:rPr>
          <w:rFonts w:cs="Arial"/>
          <w:szCs w:val="24"/>
          <w:lang w:val="en-US"/>
        </w:rPr>
        <w:t>Assign a RAG</w:t>
      </w:r>
      <w:r w:rsidR="00DB6228">
        <w:rPr>
          <w:rFonts w:cs="Arial"/>
          <w:szCs w:val="24"/>
          <w:lang w:val="en-US"/>
        </w:rPr>
        <w:t xml:space="preserve"> (Red / Amber / Green)</w:t>
      </w:r>
      <w:r w:rsidRPr="00DE5ACF">
        <w:rPr>
          <w:rFonts w:cs="Arial"/>
          <w:szCs w:val="24"/>
          <w:lang w:val="en-US"/>
        </w:rPr>
        <w:t xml:space="preserve"> rating to each of them.</w:t>
      </w:r>
    </w:p>
    <w:p w14:paraId="48235B94" w14:textId="77777777" w:rsidR="00DE5ACF" w:rsidRPr="00DE5ACF" w:rsidRDefault="00DE5ACF" w:rsidP="00DE5ACF">
      <w:pPr>
        <w:tabs>
          <w:tab w:val="left" w:pos="3504"/>
        </w:tabs>
        <w:rPr>
          <w:rFonts w:cs="Arial"/>
          <w:szCs w:val="24"/>
          <w:lang w:val="en-US"/>
        </w:rPr>
      </w:pPr>
      <w:r w:rsidRPr="00DE5ACF">
        <w:rPr>
          <w:rFonts w:cs="Arial"/>
          <w:szCs w:val="24"/>
          <w:lang w:val="en-US"/>
        </w:rPr>
        <w:t>•</w:t>
      </w:r>
      <w:r>
        <w:rPr>
          <w:rFonts w:cs="Arial"/>
          <w:szCs w:val="24"/>
          <w:lang w:val="en-US"/>
        </w:rPr>
        <w:t xml:space="preserve"> </w:t>
      </w:r>
      <w:r w:rsidRPr="00DE5ACF">
        <w:rPr>
          <w:rFonts w:cs="Arial"/>
          <w:szCs w:val="24"/>
          <w:lang w:val="en-US"/>
        </w:rPr>
        <w:t>Identify areas for development.</w:t>
      </w:r>
    </w:p>
    <w:p w14:paraId="0F7D072C" w14:textId="77777777" w:rsidR="00DE5ACF" w:rsidRDefault="00DE5ACF" w:rsidP="00DE5ACF">
      <w:pPr>
        <w:tabs>
          <w:tab w:val="left" w:pos="3504"/>
        </w:tabs>
        <w:rPr>
          <w:rFonts w:cs="Arial"/>
          <w:szCs w:val="24"/>
          <w:lang w:val="en-US"/>
        </w:rPr>
      </w:pPr>
      <w:r w:rsidRPr="00DE5ACF">
        <w:rPr>
          <w:rFonts w:cs="Arial"/>
          <w:szCs w:val="24"/>
          <w:lang w:val="en-US"/>
        </w:rPr>
        <w:t>•</w:t>
      </w:r>
      <w:r>
        <w:rPr>
          <w:rFonts w:cs="Arial"/>
          <w:szCs w:val="24"/>
          <w:lang w:val="en-US"/>
        </w:rPr>
        <w:t xml:space="preserve"> </w:t>
      </w:r>
      <w:r w:rsidRPr="00DE5ACF">
        <w:rPr>
          <w:rFonts w:cs="Arial"/>
          <w:szCs w:val="24"/>
          <w:lang w:val="en-US"/>
        </w:rPr>
        <w:t>Use the action plan to plan next steps.</w:t>
      </w:r>
    </w:p>
    <w:p w14:paraId="4A88E49F" w14:textId="77777777" w:rsidR="00DE5ACF" w:rsidRPr="00DE5ACF" w:rsidRDefault="00DE5ACF" w:rsidP="00DE5ACF">
      <w:pPr>
        <w:tabs>
          <w:tab w:val="left" w:pos="3504"/>
        </w:tabs>
        <w:rPr>
          <w:rFonts w:cs="Arial"/>
          <w:szCs w:val="24"/>
          <w:lang w:val="en-US"/>
        </w:rPr>
      </w:pPr>
    </w:p>
    <w:tbl>
      <w:tblPr>
        <w:tblW w:w="15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0757"/>
      </w:tblGrid>
      <w:tr w:rsidR="00DE5ACF" w:rsidRPr="00595E98" w14:paraId="6CFED23A" w14:textId="77777777" w:rsidTr="003A04B4">
        <w:trPr>
          <w:trHeight w:val="344"/>
        </w:trPr>
        <w:tc>
          <w:tcPr>
            <w:tcW w:w="4361" w:type="dxa"/>
            <w:shd w:val="clear" w:color="auto" w:fill="auto"/>
          </w:tcPr>
          <w:p w14:paraId="00B7861A" w14:textId="77777777" w:rsidR="00DE5ACF" w:rsidRPr="003A04B4" w:rsidRDefault="00DE5ACF" w:rsidP="00595E98">
            <w:pPr>
              <w:tabs>
                <w:tab w:val="left" w:pos="3504"/>
              </w:tabs>
              <w:rPr>
                <w:rFonts w:cs="Arial"/>
                <w:b/>
                <w:bCs/>
                <w:szCs w:val="24"/>
                <w:lang w:val="en-US"/>
              </w:rPr>
            </w:pPr>
            <w:r w:rsidRPr="003A04B4">
              <w:rPr>
                <w:rFonts w:cs="Arial"/>
                <w:b/>
                <w:bCs/>
                <w:szCs w:val="24"/>
                <w:lang w:val="en-US"/>
              </w:rPr>
              <w:t>School / setting name</w:t>
            </w:r>
          </w:p>
        </w:tc>
        <w:tc>
          <w:tcPr>
            <w:tcW w:w="10757" w:type="dxa"/>
            <w:shd w:val="clear" w:color="auto" w:fill="auto"/>
          </w:tcPr>
          <w:p w14:paraId="1BA03ADC" w14:textId="77777777" w:rsidR="00DE5ACF" w:rsidRPr="00595E98" w:rsidRDefault="00DE5ACF" w:rsidP="00595E98">
            <w:pPr>
              <w:tabs>
                <w:tab w:val="left" w:pos="3504"/>
              </w:tabs>
              <w:rPr>
                <w:rFonts w:cs="Arial"/>
                <w:szCs w:val="24"/>
                <w:lang w:val="en-US"/>
              </w:rPr>
            </w:pPr>
          </w:p>
        </w:tc>
      </w:tr>
      <w:tr w:rsidR="00DE5ACF" w:rsidRPr="00595E98" w14:paraId="1249A51E" w14:textId="77777777" w:rsidTr="003A04B4">
        <w:trPr>
          <w:trHeight w:val="331"/>
        </w:trPr>
        <w:tc>
          <w:tcPr>
            <w:tcW w:w="4361" w:type="dxa"/>
            <w:shd w:val="clear" w:color="auto" w:fill="auto"/>
          </w:tcPr>
          <w:p w14:paraId="06D3EB47" w14:textId="77777777" w:rsidR="00DE5ACF" w:rsidRPr="003A04B4" w:rsidRDefault="00DE5ACF" w:rsidP="00595E98">
            <w:pPr>
              <w:tabs>
                <w:tab w:val="left" w:pos="3504"/>
              </w:tabs>
              <w:rPr>
                <w:rFonts w:cs="Arial"/>
                <w:b/>
                <w:bCs/>
                <w:szCs w:val="24"/>
                <w:lang w:val="en-US"/>
              </w:rPr>
            </w:pPr>
            <w:r w:rsidRPr="003A04B4">
              <w:rPr>
                <w:rFonts w:cs="Arial"/>
                <w:b/>
                <w:bCs/>
                <w:szCs w:val="24"/>
                <w:lang w:val="en-US"/>
              </w:rPr>
              <w:t>Phase</w:t>
            </w:r>
          </w:p>
        </w:tc>
        <w:tc>
          <w:tcPr>
            <w:tcW w:w="10757" w:type="dxa"/>
            <w:shd w:val="clear" w:color="auto" w:fill="auto"/>
          </w:tcPr>
          <w:p w14:paraId="0AF5C9C1" w14:textId="77777777" w:rsidR="00DE5ACF" w:rsidRPr="00595E98" w:rsidRDefault="00DE5ACF" w:rsidP="00595E98">
            <w:pPr>
              <w:tabs>
                <w:tab w:val="left" w:pos="3504"/>
              </w:tabs>
              <w:rPr>
                <w:rFonts w:cs="Arial"/>
                <w:szCs w:val="24"/>
                <w:lang w:val="en-US"/>
              </w:rPr>
            </w:pPr>
          </w:p>
        </w:tc>
      </w:tr>
      <w:tr w:rsidR="003A04B4" w:rsidRPr="00595E98" w14:paraId="0DBE9BF9" w14:textId="77777777" w:rsidTr="003A04B4">
        <w:trPr>
          <w:trHeight w:val="544"/>
        </w:trPr>
        <w:tc>
          <w:tcPr>
            <w:tcW w:w="4361" w:type="dxa"/>
            <w:shd w:val="clear" w:color="auto" w:fill="auto"/>
          </w:tcPr>
          <w:p w14:paraId="2E5025A0" w14:textId="77777777" w:rsidR="003A04B4" w:rsidRPr="003A04B4" w:rsidRDefault="003A04B4" w:rsidP="00595E98">
            <w:pPr>
              <w:tabs>
                <w:tab w:val="left" w:pos="3504"/>
              </w:tabs>
              <w:rPr>
                <w:rFonts w:cs="Arial"/>
                <w:b/>
                <w:bCs/>
                <w:szCs w:val="24"/>
                <w:lang w:val="en-US"/>
              </w:rPr>
            </w:pPr>
            <w:r w:rsidRPr="003A04B4">
              <w:rPr>
                <w:rFonts w:cs="Arial"/>
                <w:b/>
                <w:bCs/>
                <w:szCs w:val="24"/>
                <w:lang w:val="en-US"/>
              </w:rPr>
              <w:t>Areas of note regarding demographics and/or emerging or existing issues around bullying:</w:t>
            </w:r>
          </w:p>
        </w:tc>
        <w:tc>
          <w:tcPr>
            <w:tcW w:w="10757" w:type="dxa"/>
            <w:shd w:val="clear" w:color="auto" w:fill="auto"/>
          </w:tcPr>
          <w:p w14:paraId="53C027AB" w14:textId="77777777" w:rsidR="003A04B4" w:rsidRPr="00595E98" w:rsidRDefault="003A04B4" w:rsidP="00595E98">
            <w:pPr>
              <w:tabs>
                <w:tab w:val="left" w:pos="3504"/>
              </w:tabs>
              <w:rPr>
                <w:rFonts w:cs="Arial"/>
                <w:szCs w:val="24"/>
                <w:lang w:val="en-US"/>
              </w:rPr>
            </w:pPr>
          </w:p>
        </w:tc>
      </w:tr>
    </w:tbl>
    <w:p w14:paraId="6472528E" w14:textId="77777777" w:rsidR="00DE5ACF" w:rsidRPr="00DE5ACF" w:rsidRDefault="00DE5ACF" w:rsidP="00DE5ACF">
      <w:pPr>
        <w:tabs>
          <w:tab w:val="left" w:pos="3504"/>
        </w:tabs>
        <w:rPr>
          <w:rFonts w:ascii="Calibri" w:hAnsi="Calibri"/>
          <w:szCs w:val="24"/>
          <w:lang w:val="en-US"/>
        </w:rPr>
      </w:pPr>
    </w:p>
    <w:p w14:paraId="10D60D25" w14:textId="77777777" w:rsidR="00DE5ACF" w:rsidRPr="00DE5ACF" w:rsidRDefault="003A04B4" w:rsidP="00DE5ACF">
      <w:pPr>
        <w:tabs>
          <w:tab w:val="left" w:pos="3504"/>
        </w:tabs>
        <w:rPr>
          <w:rFonts w:cs="Arial"/>
          <w:b/>
          <w:szCs w:val="24"/>
          <w:lang w:val="en-US"/>
        </w:rPr>
      </w:pPr>
      <w:r w:rsidRPr="00595E98">
        <w:rPr>
          <w:rFonts w:cs="Arial"/>
          <w:b/>
          <w:bCs/>
          <w:szCs w:val="24"/>
          <w:lang w:val="en-US"/>
        </w:rPr>
        <w:t>Ethos and Environment</w:t>
      </w:r>
    </w:p>
    <w:tbl>
      <w:tblPr>
        <w:tblW w:w="15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9"/>
        <w:gridCol w:w="1022"/>
        <w:gridCol w:w="1086"/>
        <w:gridCol w:w="910"/>
      </w:tblGrid>
      <w:tr w:rsidR="003A04B4" w:rsidRPr="00595E98" w14:paraId="6F68FAB4" w14:textId="77777777" w:rsidTr="00702300">
        <w:trPr>
          <w:trHeight w:val="531"/>
          <w:tblHeader/>
        </w:trPr>
        <w:tc>
          <w:tcPr>
            <w:tcW w:w="12019" w:type="dxa"/>
            <w:shd w:val="clear" w:color="auto" w:fill="FFFFFF"/>
          </w:tcPr>
          <w:p w14:paraId="7EC30C12" w14:textId="77777777" w:rsidR="003A04B4" w:rsidRPr="00595E98" w:rsidRDefault="003A04B4" w:rsidP="00DE5ACF">
            <w:pPr>
              <w:rPr>
                <w:rFonts w:cs="Arial"/>
                <w:b/>
                <w:szCs w:val="24"/>
                <w:lang w:val="en-US"/>
              </w:rPr>
            </w:pPr>
            <w:r w:rsidRPr="00595E98">
              <w:rPr>
                <w:rFonts w:cs="Arial"/>
                <w:b/>
                <w:szCs w:val="24"/>
                <w:lang w:val="en-US"/>
              </w:rPr>
              <w:t>Best practice example</w:t>
            </w:r>
          </w:p>
        </w:tc>
        <w:tc>
          <w:tcPr>
            <w:tcW w:w="1022" w:type="dxa"/>
            <w:shd w:val="clear" w:color="auto" w:fill="FF0000"/>
          </w:tcPr>
          <w:p w14:paraId="1BB30142" w14:textId="77777777" w:rsidR="003A04B4" w:rsidRPr="00595E98" w:rsidRDefault="003A04B4" w:rsidP="00DE5ACF">
            <w:pPr>
              <w:rPr>
                <w:rFonts w:cs="Arial"/>
                <w:b/>
                <w:szCs w:val="24"/>
                <w:lang w:val="en-US"/>
              </w:rPr>
            </w:pPr>
            <w:r>
              <w:rPr>
                <w:rFonts w:cs="Arial"/>
                <w:b/>
                <w:szCs w:val="24"/>
                <w:lang w:val="en-US"/>
              </w:rPr>
              <w:t xml:space="preserve">Red </w:t>
            </w:r>
          </w:p>
        </w:tc>
        <w:tc>
          <w:tcPr>
            <w:tcW w:w="1086" w:type="dxa"/>
            <w:shd w:val="clear" w:color="auto" w:fill="FFC000"/>
          </w:tcPr>
          <w:p w14:paraId="3D43F80D" w14:textId="77777777" w:rsidR="003A04B4" w:rsidRPr="00595E98" w:rsidRDefault="003A04B4" w:rsidP="00DE5ACF">
            <w:pPr>
              <w:rPr>
                <w:rFonts w:cs="Arial"/>
                <w:b/>
                <w:szCs w:val="24"/>
                <w:lang w:val="en-US"/>
              </w:rPr>
            </w:pPr>
            <w:r>
              <w:rPr>
                <w:rFonts w:cs="Arial"/>
                <w:b/>
                <w:szCs w:val="24"/>
                <w:lang w:val="en-US"/>
              </w:rPr>
              <w:t>Amber</w:t>
            </w:r>
          </w:p>
        </w:tc>
        <w:tc>
          <w:tcPr>
            <w:tcW w:w="910" w:type="dxa"/>
            <w:shd w:val="clear" w:color="auto" w:fill="A8D08D"/>
          </w:tcPr>
          <w:p w14:paraId="738FD19A" w14:textId="77777777" w:rsidR="003A04B4" w:rsidRPr="00595E98" w:rsidRDefault="003A04B4" w:rsidP="00DE5ACF">
            <w:pPr>
              <w:rPr>
                <w:rFonts w:cs="Arial"/>
                <w:b/>
                <w:szCs w:val="24"/>
                <w:lang w:val="en-US"/>
              </w:rPr>
            </w:pPr>
            <w:r>
              <w:rPr>
                <w:rFonts w:cs="Arial"/>
                <w:b/>
                <w:szCs w:val="24"/>
                <w:lang w:val="en-US"/>
              </w:rPr>
              <w:t>Green</w:t>
            </w:r>
          </w:p>
        </w:tc>
      </w:tr>
      <w:tr w:rsidR="003A04B4" w:rsidRPr="00595E98" w14:paraId="43D09ACD" w14:textId="77777777" w:rsidTr="003A04B4">
        <w:trPr>
          <w:trHeight w:val="402"/>
        </w:trPr>
        <w:tc>
          <w:tcPr>
            <w:tcW w:w="12019" w:type="dxa"/>
            <w:shd w:val="clear" w:color="auto" w:fill="FFFFFF"/>
          </w:tcPr>
          <w:p w14:paraId="2966ABAD" w14:textId="77777777" w:rsidR="003A04B4" w:rsidRPr="00595E98" w:rsidRDefault="003A04B4" w:rsidP="00595E98">
            <w:pPr>
              <w:numPr>
                <w:ilvl w:val="0"/>
                <w:numId w:val="6"/>
              </w:numPr>
              <w:contextualSpacing/>
              <w:rPr>
                <w:rFonts w:cs="Arial"/>
                <w:szCs w:val="24"/>
                <w:lang w:val="en-US"/>
              </w:rPr>
            </w:pPr>
            <w:r w:rsidRPr="00595E98">
              <w:rPr>
                <w:rFonts w:cs="Arial"/>
                <w:szCs w:val="24"/>
                <w:lang w:val="en-US"/>
              </w:rPr>
              <w:t>There is a whole school commitment to preventing and addressing bullying in all its forms and this is clearly stated in the school prospectus.</w:t>
            </w:r>
          </w:p>
        </w:tc>
        <w:tc>
          <w:tcPr>
            <w:tcW w:w="1022" w:type="dxa"/>
            <w:shd w:val="clear" w:color="auto" w:fill="FF0000"/>
          </w:tcPr>
          <w:p w14:paraId="62D4CF0E" w14:textId="77777777" w:rsidR="003A04B4" w:rsidRPr="00595E98" w:rsidRDefault="003A04B4" w:rsidP="00DE5ACF">
            <w:pPr>
              <w:rPr>
                <w:rFonts w:cs="Arial"/>
                <w:szCs w:val="24"/>
                <w:lang w:val="en-US"/>
              </w:rPr>
            </w:pPr>
          </w:p>
        </w:tc>
        <w:tc>
          <w:tcPr>
            <w:tcW w:w="1086" w:type="dxa"/>
            <w:shd w:val="clear" w:color="auto" w:fill="FFC000"/>
          </w:tcPr>
          <w:p w14:paraId="191849AB" w14:textId="77777777" w:rsidR="003A04B4" w:rsidRPr="00595E98" w:rsidRDefault="003A04B4" w:rsidP="00DE5ACF">
            <w:pPr>
              <w:rPr>
                <w:rFonts w:cs="Arial"/>
                <w:szCs w:val="24"/>
                <w:lang w:val="en-US"/>
              </w:rPr>
            </w:pPr>
          </w:p>
        </w:tc>
        <w:tc>
          <w:tcPr>
            <w:tcW w:w="910" w:type="dxa"/>
            <w:shd w:val="clear" w:color="auto" w:fill="A8D08D"/>
          </w:tcPr>
          <w:p w14:paraId="53CEE915" w14:textId="77777777" w:rsidR="003A04B4" w:rsidRPr="00595E98" w:rsidRDefault="003A04B4" w:rsidP="00DE5ACF">
            <w:pPr>
              <w:rPr>
                <w:rFonts w:cs="Arial"/>
                <w:szCs w:val="24"/>
                <w:lang w:val="en-US"/>
              </w:rPr>
            </w:pPr>
          </w:p>
        </w:tc>
      </w:tr>
      <w:tr w:rsidR="003A04B4" w:rsidRPr="00595E98" w14:paraId="2454A12B" w14:textId="77777777" w:rsidTr="003A04B4">
        <w:trPr>
          <w:trHeight w:val="402"/>
        </w:trPr>
        <w:tc>
          <w:tcPr>
            <w:tcW w:w="12019" w:type="dxa"/>
            <w:shd w:val="clear" w:color="auto" w:fill="FFFFFF"/>
          </w:tcPr>
          <w:p w14:paraId="34CF91F3" w14:textId="77777777" w:rsidR="003A04B4" w:rsidRPr="00595E98" w:rsidRDefault="003A04B4" w:rsidP="00595E98">
            <w:pPr>
              <w:numPr>
                <w:ilvl w:val="0"/>
                <w:numId w:val="6"/>
              </w:numPr>
              <w:contextualSpacing/>
              <w:rPr>
                <w:rFonts w:cs="Arial"/>
                <w:szCs w:val="24"/>
                <w:lang w:val="en-US"/>
              </w:rPr>
            </w:pPr>
            <w:r w:rsidRPr="00595E98">
              <w:rPr>
                <w:rFonts w:cs="Arial"/>
                <w:szCs w:val="24"/>
                <w:lang w:val="en-US"/>
              </w:rPr>
              <w:t>The general ethos of the school (displays, assemblies, examples across the curriculum, enrichment activities, clubs) reflect and affirm diversity of gender, ability, language, culture, religion and appearance and uphold the Anti-Bullying commitment to challenge bullying in all its forms.</w:t>
            </w:r>
          </w:p>
        </w:tc>
        <w:tc>
          <w:tcPr>
            <w:tcW w:w="1022" w:type="dxa"/>
            <w:shd w:val="clear" w:color="auto" w:fill="FF0000"/>
          </w:tcPr>
          <w:p w14:paraId="1A1EEB33" w14:textId="77777777" w:rsidR="003A04B4" w:rsidRPr="00595E98" w:rsidRDefault="003A04B4" w:rsidP="00DE5ACF">
            <w:pPr>
              <w:rPr>
                <w:rFonts w:cs="Arial"/>
                <w:szCs w:val="24"/>
                <w:lang w:val="en-US"/>
              </w:rPr>
            </w:pPr>
          </w:p>
        </w:tc>
        <w:tc>
          <w:tcPr>
            <w:tcW w:w="1086" w:type="dxa"/>
            <w:shd w:val="clear" w:color="auto" w:fill="FFC000"/>
          </w:tcPr>
          <w:p w14:paraId="2F31C7CA" w14:textId="77777777" w:rsidR="003A04B4" w:rsidRPr="00595E98" w:rsidRDefault="003A04B4" w:rsidP="00DE5ACF">
            <w:pPr>
              <w:rPr>
                <w:rFonts w:cs="Arial"/>
                <w:szCs w:val="24"/>
                <w:lang w:val="en-US"/>
              </w:rPr>
            </w:pPr>
          </w:p>
        </w:tc>
        <w:tc>
          <w:tcPr>
            <w:tcW w:w="910" w:type="dxa"/>
            <w:shd w:val="clear" w:color="auto" w:fill="A8D08D"/>
          </w:tcPr>
          <w:p w14:paraId="23CA5611" w14:textId="77777777" w:rsidR="003A04B4" w:rsidRPr="00595E98" w:rsidRDefault="003A04B4" w:rsidP="00DE5ACF">
            <w:pPr>
              <w:rPr>
                <w:rFonts w:cs="Arial"/>
                <w:szCs w:val="24"/>
                <w:lang w:val="en-US"/>
              </w:rPr>
            </w:pPr>
          </w:p>
        </w:tc>
      </w:tr>
    </w:tbl>
    <w:p w14:paraId="5DB7C40A" w14:textId="77777777" w:rsidR="003A04B4" w:rsidRDefault="003A04B4" w:rsidP="003A04B4">
      <w:pPr>
        <w:rPr>
          <w:rFonts w:cs="Arial"/>
          <w:b/>
          <w:bCs/>
          <w:szCs w:val="24"/>
          <w:lang w:val="en-US"/>
        </w:rPr>
      </w:pPr>
    </w:p>
    <w:p w14:paraId="6DE8902B" w14:textId="77777777" w:rsidR="003A04B4" w:rsidRDefault="003A04B4" w:rsidP="003A04B4">
      <w:pPr>
        <w:rPr>
          <w:rFonts w:cs="Arial"/>
          <w:b/>
          <w:bCs/>
          <w:szCs w:val="24"/>
          <w:lang w:val="en-US"/>
        </w:rPr>
      </w:pPr>
    </w:p>
    <w:p w14:paraId="0DEFA7FA" w14:textId="77777777" w:rsidR="003A04B4" w:rsidRDefault="003A04B4" w:rsidP="003A04B4">
      <w:pPr>
        <w:rPr>
          <w:rFonts w:cs="Arial"/>
          <w:b/>
          <w:bCs/>
          <w:szCs w:val="24"/>
          <w:lang w:val="en-US"/>
        </w:rPr>
      </w:pPr>
    </w:p>
    <w:p w14:paraId="3E0BDA18" w14:textId="77777777" w:rsidR="003A04B4" w:rsidRDefault="003A04B4" w:rsidP="003A04B4">
      <w:pPr>
        <w:rPr>
          <w:rFonts w:cs="Arial"/>
          <w:b/>
          <w:bCs/>
          <w:szCs w:val="24"/>
          <w:lang w:val="en-US"/>
        </w:rPr>
      </w:pPr>
    </w:p>
    <w:p w14:paraId="67BA8E01" w14:textId="77777777" w:rsidR="003A04B4" w:rsidRDefault="003A04B4" w:rsidP="003A04B4">
      <w:pPr>
        <w:rPr>
          <w:rFonts w:cs="Arial"/>
          <w:b/>
          <w:bCs/>
          <w:szCs w:val="24"/>
          <w:lang w:val="en-US"/>
        </w:rPr>
      </w:pPr>
    </w:p>
    <w:p w14:paraId="7AE69A8B" w14:textId="77777777" w:rsidR="003A04B4" w:rsidRPr="003A04B4" w:rsidRDefault="003A04B4">
      <w:pPr>
        <w:rPr>
          <w:rFonts w:cs="Arial"/>
          <w:b/>
          <w:bCs/>
          <w:szCs w:val="24"/>
          <w:lang w:val="en-US"/>
        </w:rPr>
      </w:pPr>
      <w:r w:rsidRPr="00595E98">
        <w:rPr>
          <w:rFonts w:cs="Arial"/>
          <w:b/>
          <w:bCs/>
          <w:szCs w:val="24"/>
          <w:lang w:val="en-US"/>
        </w:rPr>
        <w:lastRenderedPageBreak/>
        <w:t xml:space="preserve">Leadership and governance </w:t>
      </w:r>
    </w:p>
    <w:tbl>
      <w:tblPr>
        <w:tblW w:w="15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9"/>
        <w:gridCol w:w="670"/>
        <w:gridCol w:w="977"/>
        <w:gridCol w:w="910"/>
      </w:tblGrid>
      <w:tr w:rsidR="003A04B4" w:rsidRPr="00595E98" w14:paraId="1BECC59D" w14:textId="77777777" w:rsidTr="003A04B4">
        <w:trPr>
          <w:trHeight w:val="562"/>
        </w:trPr>
        <w:tc>
          <w:tcPr>
            <w:tcW w:w="12479" w:type="dxa"/>
            <w:shd w:val="clear" w:color="auto" w:fill="FFFFFF"/>
          </w:tcPr>
          <w:p w14:paraId="7BC3D30F"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2284DD5D"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5E2CF673"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7DF7866B" w14:textId="77777777" w:rsidR="003A04B4" w:rsidRPr="00595E98" w:rsidRDefault="003A04B4" w:rsidP="003A04B4">
            <w:pPr>
              <w:rPr>
                <w:rFonts w:cs="Arial"/>
                <w:szCs w:val="24"/>
                <w:lang w:val="en-US"/>
              </w:rPr>
            </w:pPr>
            <w:r>
              <w:rPr>
                <w:rFonts w:cs="Arial"/>
                <w:b/>
                <w:szCs w:val="24"/>
                <w:lang w:val="en-US"/>
              </w:rPr>
              <w:t>Green</w:t>
            </w:r>
          </w:p>
        </w:tc>
      </w:tr>
      <w:tr w:rsidR="003A04B4" w:rsidRPr="00595E98" w14:paraId="33FCF0D0" w14:textId="77777777" w:rsidTr="003A04B4">
        <w:trPr>
          <w:trHeight w:val="1039"/>
        </w:trPr>
        <w:tc>
          <w:tcPr>
            <w:tcW w:w="12479" w:type="dxa"/>
            <w:shd w:val="clear" w:color="auto" w:fill="FFFFFF"/>
          </w:tcPr>
          <w:p w14:paraId="6565CC8F"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A senior lead within the school coordinates a whole-school approach to anti-bullying. The school community knows who they are and they are written into the anti-bullying and/or behaviour policies</w:t>
            </w:r>
          </w:p>
        </w:tc>
        <w:tc>
          <w:tcPr>
            <w:tcW w:w="670" w:type="dxa"/>
            <w:shd w:val="clear" w:color="auto" w:fill="FF0000"/>
          </w:tcPr>
          <w:p w14:paraId="0D657074" w14:textId="77777777" w:rsidR="003A04B4" w:rsidRPr="00595E98" w:rsidRDefault="003A04B4" w:rsidP="003A04B4">
            <w:pPr>
              <w:rPr>
                <w:rFonts w:cs="Arial"/>
                <w:szCs w:val="24"/>
                <w:lang w:val="en-US"/>
              </w:rPr>
            </w:pPr>
          </w:p>
        </w:tc>
        <w:tc>
          <w:tcPr>
            <w:tcW w:w="977" w:type="dxa"/>
            <w:shd w:val="clear" w:color="auto" w:fill="FFC000"/>
          </w:tcPr>
          <w:p w14:paraId="0797D834" w14:textId="77777777" w:rsidR="003A04B4" w:rsidRPr="00595E98" w:rsidRDefault="003A04B4" w:rsidP="003A04B4">
            <w:pPr>
              <w:rPr>
                <w:rFonts w:cs="Arial"/>
                <w:szCs w:val="24"/>
                <w:lang w:val="en-US"/>
              </w:rPr>
            </w:pPr>
          </w:p>
        </w:tc>
        <w:tc>
          <w:tcPr>
            <w:tcW w:w="910" w:type="dxa"/>
            <w:shd w:val="clear" w:color="auto" w:fill="A8D08D"/>
          </w:tcPr>
          <w:p w14:paraId="674DEFFF" w14:textId="77777777" w:rsidR="003A04B4" w:rsidRPr="00595E98" w:rsidRDefault="003A04B4" w:rsidP="003A04B4">
            <w:pPr>
              <w:rPr>
                <w:rFonts w:cs="Arial"/>
                <w:szCs w:val="24"/>
                <w:lang w:val="en-US"/>
              </w:rPr>
            </w:pPr>
          </w:p>
        </w:tc>
      </w:tr>
      <w:tr w:rsidR="003A04B4" w:rsidRPr="00595E98" w14:paraId="238EAA60" w14:textId="77777777" w:rsidTr="003A04B4">
        <w:trPr>
          <w:trHeight w:val="1039"/>
        </w:trPr>
        <w:tc>
          <w:tcPr>
            <w:tcW w:w="12479" w:type="dxa"/>
            <w:shd w:val="clear" w:color="auto" w:fill="FFFFFF"/>
          </w:tcPr>
          <w:p w14:paraId="09AF39FA"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There is a school governor who actively leads on anti-bullying. Anti-bullying is regularly monitored and reported on within meetings</w:t>
            </w:r>
          </w:p>
        </w:tc>
        <w:tc>
          <w:tcPr>
            <w:tcW w:w="670" w:type="dxa"/>
            <w:shd w:val="clear" w:color="auto" w:fill="FF0000"/>
          </w:tcPr>
          <w:p w14:paraId="224FDA34" w14:textId="77777777" w:rsidR="003A04B4" w:rsidRPr="00595E98" w:rsidRDefault="003A04B4" w:rsidP="003A04B4">
            <w:pPr>
              <w:rPr>
                <w:rFonts w:cs="Arial"/>
                <w:szCs w:val="24"/>
                <w:lang w:val="en-US"/>
              </w:rPr>
            </w:pPr>
          </w:p>
        </w:tc>
        <w:tc>
          <w:tcPr>
            <w:tcW w:w="977" w:type="dxa"/>
            <w:shd w:val="clear" w:color="auto" w:fill="FFC000"/>
          </w:tcPr>
          <w:p w14:paraId="6C72C113" w14:textId="77777777" w:rsidR="003A04B4" w:rsidRPr="00595E98" w:rsidRDefault="003A04B4" w:rsidP="003A04B4">
            <w:pPr>
              <w:rPr>
                <w:rFonts w:cs="Arial"/>
                <w:szCs w:val="24"/>
                <w:lang w:val="en-US"/>
              </w:rPr>
            </w:pPr>
          </w:p>
        </w:tc>
        <w:tc>
          <w:tcPr>
            <w:tcW w:w="910" w:type="dxa"/>
            <w:shd w:val="clear" w:color="auto" w:fill="A8D08D"/>
          </w:tcPr>
          <w:p w14:paraId="0965DAFC" w14:textId="77777777" w:rsidR="003A04B4" w:rsidRPr="00595E98" w:rsidRDefault="003A04B4" w:rsidP="003A04B4">
            <w:pPr>
              <w:rPr>
                <w:rFonts w:cs="Arial"/>
                <w:szCs w:val="24"/>
                <w:lang w:val="en-US"/>
              </w:rPr>
            </w:pPr>
          </w:p>
        </w:tc>
      </w:tr>
      <w:tr w:rsidR="003A04B4" w:rsidRPr="00595E98" w14:paraId="0BD38BE1" w14:textId="77777777" w:rsidTr="003A04B4">
        <w:trPr>
          <w:trHeight w:val="1039"/>
        </w:trPr>
        <w:tc>
          <w:tcPr>
            <w:tcW w:w="12479" w:type="dxa"/>
            <w:shd w:val="clear" w:color="auto" w:fill="FFFFFF"/>
          </w:tcPr>
          <w:p w14:paraId="332ADA86"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Good use is made of guidance and advice provided by the local authority in connection with preventing and addressing bullying and prejudice-based incidents.</w:t>
            </w:r>
          </w:p>
        </w:tc>
        <w:tc>
          <w:tcPr>
            <w:tcW w:w="670" w:type="dxa"/>
            <w:shd w:val="clear" w:color="auto" w:fill="FF0000"/>
          </w:tcPr>
          <w:p w14:paraId="0E0E229F" w14:textId="77777777" w:rsidR="003A04B4" w:rsidRPr="00595E98" w:rsidRDefault="003A04B4" w:rsidP="003A04B4">
            <w:pPr>
              <w:rPr>
                <w:rFonts w:cs="Arial"/>
                <w:szCs w:val="24"/>
                <w:lang w:val="en-US"/>
              </w:rPr>
            </w:pPr>
          </w:p>
        </w:tc>
        <w:tc>
          <w:tcPr>
            <w:tcW w:w="977" w:type="dxa"/>
            <w:shd w:val="clear" w:color="auto" w:fill="FFC000"/>
          </w:tcPr>
          <w:p w14:paraId="4F52DC5E" w14:textId="77777777" w:rsidR="003A04B4" w:rsidRPr="00595E98" w:rsidRDefault="003A04B4" w:rsidP="003A04B4">
            <w:pPr>
              <w:rPr>
                <w:rFonts w:cs="Arial"/>
                <w:szCs w:val="24"/>
                <w:lang w:val="en-US"/>
              </w:rPr>
            </w:pPr>
          </w:p>
        </w:tc>
        <w:tc>
          <w:tcPr>
            <w:tcW w:w="910" w:type="dxa"/>
            <w:shd w:val="clear" w:color="auto" w:fill="A8D08D"/>
          </w:tcPr>
          <w:p w14:paraId="38DCDB3D" w14:textId="77777777" w:rsidR="003A04B4" w:rsidRPr="00595E98" w:rsidRDefault="003A04B4" w:rsidP="003A04B4">
            <w:pPr>
              <w:rPr>
                <w:rFonts w:cs="Arial"/>
                <w:szCs w:val="24"/>
                <w:lang w:val="en-US"/>
              </w:rPr>
            </w:pPr>
          </w:p>
        </w:tc>
      </w:tr>
      <w:tr w:rsidR="003A04B4" w:rsidRPr="00595E98" w14:paraId="43C39268" w14:textId="77777777" w:rsidTr="003A04B4">
        <w:trPr>
          <w:trHeight w:val="1039"/>
        </w:trPr>
        <w:tc>
          <w:tcPr>
            <w:tcW w:w="12479" w:type="dxa"/>
            <w:shd w:val="clear" w:color="auto" w:fill="FFFFFF"/>
          </w:tcPr>
          <w:p w14:paraId="4DA9EC9C"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There is a good working relationship with the police, and with voluntary sector organisations and networks concerned with bullying and other harassment issues.</w:t>
            </w:r>
          </w:p>
        </w:tc>
        <w:tc>
          <w:tcPr>
            <w:tcW w:w="670" w:type="dxa"/>
            <w:shd w:val="clear" w:color="auto" w:fill="FF0000"/>
          </w:tcPr>
          <w:p w14:paraId="0AE70D84" w14:textId="77777777" w:rsidR="003A04B4" w:rsidRPr="00595E98" w:rsidRDefault="003A04B4" w:rsidP="003A04B4">
            <w:pPr>
              <w:rPr>
                <w:rFonts w:cs="Arial"/>
                <w:szCs w:val="24"/>
                <w:lang w:val="en-US"/>
              </w:rPr>
            </w:pPr>
          </w:p>
        </w:tc>
        <w:tc>
          <w:tcPr>
            <w:tcW w:w="977" w:type="dxa"/>
            <w:shd w:val="clear" w:color="auto" w:fill="FFC000"/>
          </w:tcPr>
          <w:p w14:paraId="5CFE498F" w14:textId="77777777" w:rsidR="003A04B4" w:rsidRPr="00595E98" w:rsidRDefault="003A04B4" w:rsidP="003A04B4">
            <w:pPr>
              <w:rPr>
                <w:rFonts w:cs="Arial"/>
                <w:szCs w:val="24"/>
                <w:lang w:val="en-US"/>
              </w:rPr>
            </w:pPr>
          </w:p>
        </w:tc>
        <w:tc>
          <w:tcPr>
            <w:tcW w:w="910" w:type="dxa"/>
            <w:shd w:val="clear" w:color="auto" w:fill="A8D08D"/>
          </w:tcPr>
          <w:p w14:paraId="2258CD2A" w14:textId="77777777" w:rsidR="003A04B4" w:rsidRPr="00595E98" w:rsidRDefault="003A04B4" w:rsidP="003A04B4">
            <w:pPr>
              <w:rPr>
                <w:rFonts w:cs="Arial"/>
                <w:szCs w:val="24"/>
                <w:lang w:val="en-US"/>
              </w:rPr>
            </w:pPr>
          </w:p>
        </w:tc>
      </w:tr>
    </w:tbl>
    <w:p w14:paraId="40D48AEE" w14:textId="77777777" w:rsidR="003A04B4" w:rsidRDefault="003A04B4">
      <w:pPr>
        <w:rPr>
          <w:rFonts w:cs="Arial"/>
          <w:b/>
          <w:bCs/>
          <w:szCs w:val="24"/>
          <w:lang w:val="en-US"/>
        </w:rPr>
      </w:pPr>
    </w:p>
    <w:p w14:paraId="34E29C8F" w14:textId="77777777" w:rsidR="003A04B4" w:rsidRDefault="003A04B4">
      <w:r w:rsidRPr="00595E98">
        <w:rPr>
          <w:rFonts w:cs="Arial"/>
          <w:b/>
          <w:bCs/>
          <w:szCs w:val="24"/>
          <w:lang w:val="en-US"/>
        </w:rPr>
        <w:t>Policy development</w:t>
      </w:r>
    </w:p>
    <w:tbl>
      <w:tblPr>
        <w:tblW w:w="15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9"/>
        <w:gridCol w:w="670"/>
        <w:gridCol w:w="977"/>
        <w:gridCol w:w="910"/>
      </w:tblGrid>
      <w:tr w:rsidR="003A04B4" w:rsidRPr="00595E98" w14:paraId="04FEE67F" w14:textId="77777777" w:rsidTr="003A04B4">
        <w:trPr>
          <w:trHeight w:val="456"/>
        </w:trPr>
        <w:tc>
          <w:tcPr>
            <w:tcW w:w="12479" w:type="dxa"/>
            <w:shd w:val="clear" w:color="auto" w:fill="FFFFFF"/>
          </w:tcPr>
          <w:p w14:paraId="749CFA74" w14:textId="77777777" w:rsidR="003A04B4" w:rsidRPr="00BC08C0"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4541328B"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713CE8D1"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48BC9076" w14:textId="77777777" w:rsidR="003A04B4" w:rsidRPr="00595E98" w:rsidRDefault="003A04B4" w:rsidP="003A04B4">
            <w:pPr>
              <w:rPr>
                <w:rFonts w:cs="Arial"/>
                <w:szCs w:val="24"/>
                <w:lang w:val="en-US"/>
              </w:rPr>
            </w:pPr>
            <w:r>
              <w:rPr>
                <w:rFonts w:cs="Arial"/>
                <w:b/>
                <w:szCs w:val="24"/>
                <w:lang w:val="en-US"/>
              </w:rPr>
              <w:t>Green</w:t>
            </w:r>
          </w:p>
        </w:tc>
      </w:tr>
      <w:tr w:rsidR="003A04B4" w:rsidRPr="00595E98" w14:paraId="6DF5975B" w14:textId="77777777" w:rsidTr="003A04B4">
        <w:trPr>
          <w:trHeight w:val="456"/>
        </w:trPr>
        <w:tc>
          <w:tcPr>
            <w:tcW w:w="12479" w:type="dxa"/>
            <w:shd w:val="clear" w:color="auto" w:fill="FFFFFF"/>
          </w:tcPr>
          <w:p w14:paraId="41DD51A1" w14:textId="77777777" w:rsidR="003A04B4" w:rsidRPr="00595E98" w:rsidRDefault="003A04B4" w:rsidP="003A04B4">
            <w:pPr>
              <w:numPr>
                <w:ilvl w:val="0"/>
                <w:numId w:val="6"/>
              </w:numPr>
              <w:contextualSpacing/>
              <w:rPr>
                <w:rFonts w:cs="Arial"/>
                <w:szCs w:val="24"/>
                <w:lang w:val="en-US"/>
              </w:rPr>
            </w:pPr>
            <w:r w:rsidRPr="00BC08C0">
              <w:rPr>
                <w:rFonts w:cs="Arial"/>
                <w:szCs w:val="24"/>
                <w:lang w:val="en-US"/>
              </w:rPr>
              <w:t>There is a carefully considered anti-bullying policy (or behaviour policy which includes anti-bullying) that is put into action on a daily basis and is reviewed annually with involvement from CYPs, staff and parents.</w:t>
            </w:r>
          </w:p>
        </w:tc>
        <w:tc>
          <w:tcPr>
            <w:tcW w:w="670" w:type="dxa"/>
            <w:shd w:val="clear" w:color="auto" w:fill="FF0000"/>
          </w:tcPr>
          <w:p w14:paraId="62916FDE" w14:textId="77777777" w:rsidR="003A04B4" w:rsidRPr="00595E98" w:rsidRDefault="003A04B4" w:rsidP="003A04B4">
            <w:pPr>
              <w:rPr>
                <w:rFonts w:cs="Arial"/>
                <w:szCs w:val="24"/>
                <w:lang w:val="en-US"/>
              </w:rPr>
            </w:pPr>
          </w:p>
        </w:tc>
        <w:tc>
          <w:tcPr>
            <w:tcW w:w="977" w:type="dxa"/>
            <w:shd w:val="clear" w:color="auto" w:fill="FFC000"/>
          </w:tcPr>
          <w:p w14:paraId="007D8473" w14:textId="77777777" w:rsidR="003A04B4" w:rsidRPr="00595E98" w:rsidRDefault="003A04B4" w:rsidP="003A04B4">
            <w:pPr>
              <w:rPr>
                <w:rFonts w:cs="Arial"/>
                <w:szCs w:val="24"/>
                <w:lang w:val="en-US"/>
              </w:rPr>
            </w:pPr>
          </w:p>
        </w:tc>
        <w:tc>
          <w:tcPr>
            <w:tcW w:w="910" w:type="dxa"/>
            <w:shd w:val="clear" w:color="auto" w:fill="A8D08D"/>
          </w:tcPr>
          <w:p w14:paraId="6A4ED95C" w14:textId="77777777" w:rsidR="003A04B4" w:rsidRPr="00595E98" w:rsidRDefault="003A04B4" w:rsidP="003A04B4">
            <w:pPr>
              <w:rPr>
                <w:rFonts w:cs="Arial"/>
                <w:szCs w:val="24"/>
                <w:lang w:val="en-US"/>
              </w:rPr>
            </w:pPr>
          </w:p>
        </w:tc>
      </w:tr>
      <w:tr w:rsidR="003A04B4" w:rsidRPr="00595E98" w14:paraId="0C69C55E" w14:textId="77777777" w:rsidTr="003A04B4">
        <w:trPr>
          <w:trHeight w:val="456"/>
        </w:trPr>
        <w:tc>
          <w:tcPr>
            <w:tcW w:w="12479" w:type="dxa"/>
            <w:shd w:val="clear" w:color="auto" w:fill="FFFFFF"/>
          </w:tcPr>
          <w:p w14:paraId="01BC69CF"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All staff are aware of the school’s documentation about managing bullying and bullying is kept under review by all staff, including administrative and support staff, midday supervisors, teachers and anyone delivering wrap around childcare / clubs.</w:t>
            </w:r>
          </w:p>
        </w:tc>
        <w:tc>
          <w:tcPr>
            <w:tcW w:w="670" w:type="dxa"/>
            <w:shd w:val="clear" w:color="auto" w:fill="FF0000"/>
          </w:tcPr>
          <w:p w14:paraId="3433E578" w14:textId="77777777" w:rsidR="003A04B4" w:rsidRPr="00595E98" w:rsidRDefault="003A04B4" w:rsidP="003A04B4">
            <w:pPr>
              <w:rPr>
                <w:rFonts w:cs="Arial"/>
                <w:szCs w:val="24"/>
                <w:lang w:val="en-US"/>
              </w:rPr>
            </w:pPr>
          </w:p>
        </w:tc>
        <w:tc>
          <w:tcPr>
            <w:tcW w:w="977" w:type="dxa"/>
            <w:shd w:val="clear" w:color="auto" w:fill="FFC000"/>
          </w:tcPr>
          <w:p w14:paraId="45F6FA12" w14:textId="77777777" w:rsidR="003A04B4" w:rsidRPr="00595E98" w:rsidRDefault="003A04B4" w:rsidP="003A04B4">
            <w:pPr>
              <w:rPr>
                <w:rFonts w:cs="Arial"/>
                <w:szCs w:val="24"/>
                <w:lang w:val="en-US"/>
              </w:rPr>
            </w:pPr>
          </w:p>
        </w:tc>
        <w:tc>
          <w:tcPr>
            <w:tcW w:w="910" w:type="dxa"/>
            <w:shd w:val="clear" w:color="auto" w:fill="A8D08D"/>
          </w:tcPr>
          <w:p w14:paraId="2EE46E57" w14:textId="77777777" w:rsidR="003A04B4" w:rsidRPr="00595E98" w:rsidRDefault="003A04B4" w:rsidP="003A04B4">
            <w:pPr>
              <w:rPr>
                <w:rFonts w:cs="Arial"/>
                <w:szCs w:val="24"/>
                <w:lang w:val="en-US"/>
              </w:rPr>
            </w:pPr>
          </w:p>
        </w:tc>
      </w:tr>
    </w:tbl>
    <w:p w14:paraId="50C55EBF" w14:textId="77777777" w:rsidR="003A04B4" w:rsidRDefault="003A04B4" w:rsidP="003A04B4">
      <w:pPr>
        <w:rPr>
          <w:rFonts w:cs="Arial"/>
          <w:b/>
          <w:bCs/>
          <w:szCs w:val="24"/>
          <w:lang w:val="en-US"/>
        </w:rPr>
      </w:pPr>
    </w:p>
    <w:p w14:paraId="3ED096AF" w14:textId="77777777" w:rsidR="003A04B4" w:rsidRDefault="003A04B4" w:rsidP="003A04B4">
      <w:pPr>
        <w:rPr>
          <w:rFonts w:cs="Arial"/>
          <w:b/>
          <w:bCs/>
          <w:szCs w:val="24"/>
          <w:lang w:val="en-US"/>
        </w:rPr>
      </w:pPr>
    </w:p>
    <w:p w14:paraId="6331947C" w14:textId="77777777" w:rsidR="003A04B4" w:rsidRDefault="003A04B4" w:rsidP="003A04B4">
      <w:pPr>
        <w:rPr>
          <w:rFonts w:cs="Arial"/>
          <w:b/>
          <w:bCs/>
          <w:szCs w:val="24"/>
          <w:lang w:val="en-US"/>
        </w:rPr>
      </w:pPr>
    </w:p>
    <w:p w14:paraId="001A3BE2" w14:textId="77777777" w:rsidR="003A04B4" w:rsidRDefault="003A04B4" w:rsidP="003A04B4">
      <w:pPr>
        <w:rPr>
          <w:rFonts w:cs="Arial"/>
          <w:b/>
          <w:bCs/>
          <w:szCs w:val="24"/>
          <w:lang w:val="en-US"/>
        </w:rPr>
      </w:pPr>
    </w:p>
    <w:p w14:paraId="0977F09F" w14:textId="77777777" w:rsidR="003A04B4" w:rsidRDefault="003A04B4" w:rsidP="003A04B4">
      <w:pPr>
        <w:rPr>
          <w:rFonts w:cs="Arial"/>
          <w:b/>
          <w:bCs/>
          <w:szCs w:val="24"/>
          <w:lang w:val="en-US"/>
        </w:rPr>
      </w:pPr>
    </w:p>
    <w:p w14:paraId="5956BAFC" w14:textId="77777777" w:rsidR="003A04B4" w:rsidRPr="00595E98" w:rsidRDefault="003A04B4" w:rsidP="003A04B4">
      <w:pPr>
        <w:rPr>
          <w:rFonts w:cs="Arial"/>
          <w:b/>
          <w:bCs/>
          <w:szCs w:val="24"/>
          <w:lang w:val="en-US"/>
        </w:rPr>
      </w:pPr>
      <w:r w:rsidRPr="00595E98">
        <w:rPr>
          <w:rFonts w:cs="Arial"/>
          <w:b/>
          <w:bCs/>
          <w:szCs w:val="24"/>
          <w:lang w:val="en-US"/>
        </w:rPr>
        <w:lastRenderedPageBreak/>
        <w:t>CYP voice</w:t>
      </w:r>
    </w:p>
    <w:p w14:paraId="6F5038BD" w14:textId="77777777" w:rsidR="003A04B4" w:rsidRDefault="003A04B4" w:rsidP="003A04B4">
      <w:r w:rsidRPr="00595E98">
        <w:rPr>
          <w:rFonts w:cs="Arial"/>
          <w:i/>
          <w:iCs/>
          <w:szCs w:val="24"/>
          <w:lang w:val="en-US"/>
        </w:rPr>
        <w:t>Additional measures are implemented where other needs are present e.g. SEND or EAL</w:t>
      </w:r>
    </w:p>
    <w:tbl>
      <w:tblPr>
        <w:tblW w:w="15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9"/>
        <w:gridCol w:w="670"/>
        <w:gridCol w:w="977"/>
        <w:gridCol w:w="910"/>
      </w:tblGrid>
      <w:tr w:rsidR="003A04B4" w:rsidRPr="00595E98" w14:paraId="25A6EB02" w14:textId="77777777" w:rsidTr="003A04B4">
        <w:trPr>
          <w:trHeight w:val="565"/>
        </w:trPr>
        <w:tc>
          <w:tcPr>
            <w:tcW w:w="12479" w:type="dxa"/>
            <w:shd w:val="clear" w:color="auto" w:fill="FFFFFF"/>
          </w:tcPr>
          <w:p w14:paraId="739DAE75"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033AABD4"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7CDE9816"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027D8D6B" w14:textId="77777777" w:rsidR="003A04B4" w:rsidRPr="00595E98" w:rsidRDefault="003A04B4" w:rsidP="003A04B4">
            <w:pPr>
              <w:rPr>
                <w:rFonts w:cs="Arial"/>
                <w:szCs w:val="24"/>
                <w:lang w:val="en-US"/>
              </w:rPr>
            </w:pPr>
            <w:r>
              <w:rPr>
                <w:rFonts w:cs="Arial"/>
                <w:b/>
                <w:szCs w:val="24"/>
                <w:lang w:val="en-US"/>
              </w:rPr>
              <w:t>Green</w:t>
            </w:r>
          </w:p>
        </w:tc>
      </w:tr>
      <w:tr w:rsidR="003A04B4" w:rsidRPr="00595E98" w14:paraId="1DFC9D10" w14:textId="77777777" w:rsidTr="003A04B4">
        <w:trPr>
          <w:trHeight w:val="857"/>
        </w:trPr>
        <w:tc>
          <w:tcPr>
            <w:tcW w:w="12479" w:type="dxa"/>
            <w:shd w:val="clear" w:color="auto" w:fill="FFFFFF"/>
          </w:tcPr>
          <w:p w14:paraId="0F927ADB"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 xml:space="preserve">An inclusive CYP reference or action group has been established to help deliver the school’s Anti-Bullying strategy and </w:t>
            </w:r>
            <w:r>
              <w:rPr>
                <w:rFonts w:cs="Arial"/>
                <w:szCs w:val="24"/>
                <w:lang w:val="en-US"/>
              </w:rPr>
              <w:t>CYP</w:t>
            </w:r>
            <w:r w:rsidRPr="00595E98">
              <w:rPr>
                <w:rFonts w:cs="Arial"/>
                <w:szCs w:val="24"/>
                <w:lang w:val="en-US"/>
              </w:rPr>
              <w:t xml:space="preserve"> are supported to be actively involved in anti-bullying initiatives (e.g. including awareness raising, peer support)</w:t>
            </w:r>
          </w:p>
        </w:tc>
        <w:tc>
          <w:tcPr>
            <w:tcW w:w="670" w:type="dxa"/>
            <w:shd w:val="clear" w:color="auto" w:fill="FF0000"/>
          </w:tcPr>
          <w:p w14:paraId="017FE6D9" w14:textId="77777777" w:rsidR="003A04B4" w:rsidRPr="00595E98" w:rsidRDefault="003A04B4" w:rsidP="003A04B4">
            <w:pPr>
              <w:rPr>
                <w:rFonts w:cs="Arial"/>
                <w:szCs w:val="24"/>
                <w:lang w:val="en-US"/>
              </w:rPr>
            </w:pPr>
          </w:p>
        </w:tc>
        <w:tc>
          <w:tcPr>
            <w:tcW w:w="977" w:type="dxa"/>
            <w:shd w:val="clear" w:color="auto" w:fill="FFC000"/>
          </w:tcPr>
          <w:p w14:paraId="22C7CAA8" w14:textId="77777777" w:rsidR="003A04B4" w:rsidRPr="00595E98" w:rsidRDefault="003A04B4" w:rsidP="003A04B4">
            <w:pPr>
              <w:rPr>
                <w:rFonts w:cs="Arial"/>
                <w:szCs w:val="24"/>
                <w:lang w:val="en-US"/>
              </w:rPr>
            </w:pPr>
          </w:p>
        </w:tc>
        <w:tc>
          <w:tcPr>
            <w:tcW w:w="910" w:type="dxa"/>
            <w:shd w:val="clear" w:color="auto" w:fill="A8D08D"/>
          </w:tcPr>
          <w:p w14:paraId="65B64EDF" w14:textId="77777777" w:rsidR="003A04B4" w:rsidRPr="00595E98" w:rsidRDefault="003A04B4" w:rsidP="003A04B4">
            <w:pPr>
              <w:rPr>
                <w:rFonts w:cs="Arial"/>
                <w:szCs w:val="24"/>
                <w:lang w:val="en-US"/>
              </w:rPr>
            </w:pPr>
          </w:p>
        </w:tc>
      </w:tr>
      <w:tr w:rsidR="003A04B4" w:rsidRPr="00595E98" w14:paraId="057AF425" w14:textId="77777777" w:rsidTr="003A04B4">
        <w:trPr>
          <w:trHeight w:val="937"/>
        </w:trPr>
        <w:tc>
          <w:tcPr>
            <w:tcW w:w="12479" w:type="dxa"/>
            <w:shd w:val="clear" w:color="auto" w:fill="FFFFFF"/>
          </w:tcPr>
          <w:p w14:paraId="7F223B16"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CYP report that they feel listened to, their views taken seriously and that the schools Anti-Bullying strategy reflects their voices.</w:t>
            </w:r>
          </w:p>
        </w:tc>
        <w:tc>
          <w:tcPr>
            <w:tcW w:w="670" w:type="dxa"/>
            <w:shd w:val="clear" w:color="auto" w:fill="FF0000"/>
          </w:tcPr>
          <w:p w14:paraId="5F41B7BF" w14:textId="77777777" w:rsidR="003A04B4" w:rsidRPr="00595E98" w:rsidRDefault="003A04B4" w:rsidP="003A04B4">
            <w:pPr>
              <w:rPr>
                <w:rFonts w:cs="Arial"/>
                <w:szCs w:val="24"/>
                <w:lang w:val="en-US"/>
              </w:rPr>
            </w:pPr>
          </w:p>
        </w:tc>
        <w:tc>
          <w:tcPr>
            <w:tcW w:w="977" w:type="dxa"/>
            <w:shd w:val="clear" w:color="auto" w:fill="FFC000"/>
          </w:tcPr>
          <w:p w14:paraId="773304DB" w14:textId="77777777" w:rsidR="003A04B4" w:rsidRPr="00595E98" w:rsidRDefault="003A04B4" w:rsidP="003A04B4">
            <w:pPr>
              <w:rPr>
                <w:rFonts w:cs="Arial"/>
                <w:szCs w:val="24"/>
                <w:lang w:val="en-US"/>
              </w:rPr>
            </w:pPr>
          </w:p>
        </w:tc>
        <w:tc>
          <w:tcPr>
            <w:tcW w:w="910" w:type="dxa"/>
            <w:shd w:val="clear" w:color="auto" w:fill="A8D08D"/>
          </w:tcPr>
          <w:p w14:paraId="7B4E4A07" w14:textId="77777777" w:rsidR="003A04B4" w:rsidRPr="00595E98" w:rsidRDefault="003A04B4" w:rsidP="003A04B4">
            <w:pPr>
              <w:rPr>
                <w:rFonts w:cs="Arial"/>
                <w:szCs w:val="24"/>
                <w:lang w:val="en-US"/>
              </w:rPr>
            </w:pPr>
          </w:p>
        </w:tc>
      </w:tr>
    </w:tbl>
    <w:p w14:paraId="58F4DDD2" w14:textId="77777777" w:rsidR="003A04B4" w:rsidRDefault="003A04B4">
      <w:pPr>
        <w:rPr>
          <w:rFonts w:cs="Arial"/>
          <w:b/>
          <w:bCs/>
          <w:szCs w:val="24"/>
          <w:lang w:val="en-US"/>
        </w:rPr>
      </w:pPr>
    </w:p>
    <w:p w14:paraId="44EEABD6" w14:textId="77777777" w:rsidR="003A04B4" w:rsidRDefault="003A04B4">
      <w:r w:rsidRPr="00595E98">
        <w:rPr>
          <w:rFonts w:cs="Arial"/>
          <w:b/>
          <w:bCs/>
          <w:szCs w:val="24"/>
          <w:lang w:val="en-US"/>
        </w:rPr>
        <w:t>Support and signposting for CYP</w:t>
      </w:r>
    </w:p>
    <w:tbl>
      <w:tblPr>
        <w:tblW w:w="15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9"/>
        <w:gridCol w:w="670"/>
        <w:gridCol w:w="977"/>
        <w:gridCol w:w="910"/>
      </w:tblGrid>
      <w:tr w:rsidR="003A04B4" w:rsidRPr="00595E98" w14:paraId="4AB016B1" w14:textId="77777777" w:rsidTr="003A04B4">
        <w:trPr>
          <w:trHeight w:val="443"/>
        </w:trPr>
        <w:tc>
          <w:tcPr>
            <w:tcW w:w="12479" w:type="dxa"/>
            <w:shd w:val="clear" w:color="auto" w:fill="FFFFFF"/>
          </w:tcPr>
          <w:p w14:paraId="134315D3"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0FA8F468"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5FB4E876"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3A46D6ED" w14:textId="77777777" w:rsidR="003A04B4" w:rsidRPr="00595E98" w:rsidRDefault="003A04B4" w:rsidP="003A04B4">
            <w:pPr>
              <w:rPr>
                <w:rFonts w:cs="Arial"/>
                <w:szCs w:val="24"/>
                <w:lang w:val="en-US"/>
              </w:rPr>
            </w:pPr>
            <w:r>
              <w:rPr>
                <w:rFonts w:cs="Arial"/>
                <w:b/>
                <w:szCs w:val="24"/>
                <w:lang w:val="en-US"/>
              </w:rPr>
              <w:t>Green</w:t>
            </w:r>
          </w:p>
        </w:tc>
      </w:tr>
      <w:tr w:rsidR="003A04B4" w:rsidRPr="00595E98" w14:paraId="7813C6BD" w14:textId="77777777" w:rsidTr="003A04B4">
        <w:trPr>
          <w:trHeight w:val="563"/>
        </w:trPr>
        <w:tc>
          <w:tcPr>
            <w:tcW w:w="12479" w:type="dxa"/>
            <w:shd w:val="clear" w:color="auto" w:fill="FFFFFF"/>
          </w:tcPr>
          <w:p w14:paraId="606360E9"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Individual CYP who experience bullying are supported appropriately.</w:t>
            </w:r>
          </w:p>
        </w:tc>
        <w:tc>
          <w:tcPr>
            <w:tcW w:w="670" w:type="dxa"/>
            <w:shd w:val="clear" w:color="auto" w:fill="FF0000"/>
          </w:tcPr>
          <w:p w14:paraId="5F89B7F7" w14:textId="77777777" w:rsidR="003A04B4" w:rsidRPr="00595E98" w:rsidRDefault="003A04B4" w:rsidP="003A04B4">
            <w:pPr>
              <w:rPr>
                <w:rFonts w:cs="Arial"/>
                <w:szCs w:val="24"/>
                <w:lang w:val="en-US"/>
              </w:rPr>
            </w:pPr>
          </w:p>
        </w:tc>
        <w:tc>
          <w:tcPr>
            <w:tcW w:w="977" w:type="dxa"/>
            <w:shd w:val="clear" w:color="auto" w:fill="FFC000"/>
          </w:tcPr>
          <w:p w14:paraId="41635918" w14:textId="77777777" w:rsidR="003A04B4" w:rsidRPr="00595E98" w:rsidRDefault="003A04B4" w:rsidP="003A04B4">
            <w:pPr>
              <w:rPr>
                <w:rFonts w:cs="Arial"/>
                <w:szCs w:val="24"/>
                <w:lang w:val="en-US"/>
              </w:rPr>
            </w:pPr>
          </w:p>
        </w:tc>
        <w:tc>
          <w:tcPr>
            <w:tcW w:w="910" w:type="dxa"/>
            <w:shd w:val="clear" w:color="auto" w:fill="A8D08D"/>
          </w:tcPr>
          <w:p w14:paraId="1B5DC9CF" w14:textId="77777777" w:rsidR="003A04B4" w:rsidRPr="00595E98" w:rsidRDefault="003A04B4" w:rsidP="003A04B4">
            <w:pPr>
              <w:rPr>
                <w:rFonts w:cs="Arial"/>
                <w:szCs w:val="24"/>
                <w:lang w:val="en-US"/>
              </w:rPr>
            </w:pPr>
          </w:p>
        </w:tc>
      </w:tr>
      <w:tr w:rsidR="003A04B4" w:rsidRPr="00595E98" w14:paraId="1B258A0D" w14:textId="77777777" w:rsidTr="003A04B4">
        <w:trPr>
          <w:trHeight w:val="429"/>
        </w:trPr>
        <w:tc>
          <w:tcPr>
            <w:tcW w:w="12479" w:type="dxa"/>
            <w:shd w:val="clear" w:color="auto" w:fill="FFFFFF"/>
          </w:tcPr>
          <w:p w14:paraId="29BC37DF"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 xml:space="preserve">The whole school community including staff, </w:t>
            </w:r>
            <w:r>
              <w:rPr>
                <w:rFonts w:cs="Arial"/>
                <w:szCs w:val="24"/>
                <w:lang w:val="en-US"/>
              </w:rPr>
              <w:t>CYP</w:t>
            </w:r>
            <w:r w:rsidRPr="00595E98">
              <w:rPr>
                <w:rFonts w:cs="Arial"/>
                <w:szCs w:val="24"/>
                <w:lang w:val="en-US"/>
              </w:rPr>
              <w:t xml:space="preserve"> and parents are aware of and understand the impact bullying can have on learning and wellbeing.</w:t>
            </w:r>
          </w:p>
        </w:tc>
        <w:tc>
          <w:tcPr>
            <w:tcW w:w="670" w:type="dxa"/>
            <w:shd w:val="clear" w:color="auto" w:fill="FF0000"/>
          </w:tcPr>
          <w:p w14:paraId="34B83F8D" w14:textId="77777777" w:rsidR="003A04B4" w:rsidRPr="00595E98" w:rsidRDefault="003A04B4" w:rsidP="003A04B4">
            <w:pPr>
              <w:rPr>
                <w:rFonts w:cs="Arial"/>
                <w:szCs w:val="24"/>
                <w:lang w:val="en-US"/>
              </w:rPr>
            </w:pPr>
          </w:p>
        </w:tc>
        <w:tc>
          <w:tcPr>
            <w:tcW w:w="977" w:type="dxa"/>
            <w:shd w:val="clear" w:color="auto" w:fill="FFC000"/>
          </w:tcPr>
          <w:p w14:paraId="1B6AE063" w14:textId="77777777" w:rsidR="003A04B4" w:rsidRPr="00595E98" w:rsidRDefault="003A04B4" w:rsidP="003A04B4">
            <w:pPr>
              <w:rPr>
                <w:rFonts w:cs="Arial"/>
                <w:szCs w:val="24"/>
                <w:lang w:val="en-US"/>
              </w:rPr>
            </w:pPr>
          </w:p>
        </w:tc>
        <w:tc>
          <w:tcPr>
            <w:tcW w:w="910" w:type="dxa"/>
            <w:shd w:val="clear" w:color="auto" w:fill="A8D08D"/>
          </w:tcPr>
          <w:p w14:paraId="6E2EF979" w14:textId="77777777" w:rsidR="003A04B4" w:rsidRPr="00595E98" w:rsidRDefault="003A04B4" w:rsidP="003A04B4">
            <w:pPr>
              <w:rPr>
                <w:rFonts w:cs="Arial"/>
                <w:szCs w:val="24"/>
                <w:lang w:val="en-US"/>
              </w:rPr>
            </w:pPr>
          </w:p>
        </w:tc>
      </w:tr>
    </w:tbl>
    <w:p w14:paraId="0A2DC834" w14:textId="77777777" w:rsidR="003A04B4" w:rsidRDefault="003A04B4" w:rsidP="003A04B4">
      <w:pPr>
        <w:rPr>
          <w:rFonts w:cs="Arial"/>
          <w:b/>
          <w:bCs/>
          <w:szCs w:val="24"/>
          <w:lang w:val="en-US"/>
        </w:rPr>
      </w:pPr>
    </w:p>
    <w:p w14:paraId="19661E34" w14:textId="77777777" w:rsidR="003A04B4" w:rsidRDefault="003A04B4" w:rsidP="003A04B4">
      <w:pPr>
        <w:rPr>
          <w:rFonts w:cs="Arial"/>
          <w:b/>
          <w:bCs/>
          <w:szCs w:val="24"/>
          <w:lang w:val="en-US"/>
        </w:rPr>
      </w:pPr>
    </w:p>
    <w:p w14:paraId="7DA163EA" w14:textId="77777777" w:rsidR="003A04B4" w:rsidRDefault="003A04B4" w:rsidP="003A04B4">
      <w:pPr>
        <w:rPr>
          <w:rFonts w:cs="Arial"/>
          <w:b/>
          <w:bCs/>
          <w:szCs w:val="24"/>
          <w:lang w:val="en-US"/>
        </w:rPr>
      </w:pPr>
    </w:p>
    <w:p w14:paraId="3382FC99" w14:textId="77777777" w:rsidR="003A04B4" w:rsidRDefault="003A04B4" w:rsidP="003A04B4">
      <w:pPr>
        <w:rPr>
          <w:rFonts w:cs="Arial"/>
          <w:b/>
          <w:bCs/>
          <w:szCs w:val="24"/>
          <w:lang w:val="en-US"/>
        </w:rPr>
      </w:pPr>
    </w:p>
    <w:p w14:paraId="43214556" w14:textId="77777777" w:rsidR="003A04B4" w:rsidRPr="00595E98" w:rsidRDefault="003A04B4" w:rsidP="003A04B4">
      <w:pPr>
        <w:rPr>
          <w:rFonts w:cs="Arial"/>
          <w:b/>
          <w:bCs/>
          <w:szCs w:val="24"/>
          <w:lang w:val="en-US"/>
        </w:rPr>
      </w:pPr>
      <w:r w:rsidRPr="00595E98">
        <w:rPr>
          <w:rFonts w:cs="Arial"/>
          <w:b/>
          <w:bCs/>
          <w:szCs w:val="24"/>
          <w:lang w:val="en-US"/>
        </w:rPr>
        <w:t>Partnerships with families</w:t>
      </w:r>
    </w:p>
    <w:p w14:paraId="6E6DC038" w14:textId="77777777" w:rsidR="003A04B4" w:rsidRDefault="003A04B4">
      <w:r w:rsidRPr="00595E98">
        <w:rPr>
          <w:rFonts w:cs="Arial"/>
          <w:i/>
          <w:iCs/>
          <w:szCs w:val="24"/>
          <w:lang w:val="en-US"/>
        </w:rPr>
        <w:t>Additional measures are implemented where other needs are present e.g. SEND or EAL</w:t>
      </w:r>
    </w:p>
    <w:tbl>
      <w:tblPr>
        <w:tblW w:w="14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2"/>
        <w:gridCol w:w="670"/>
        <w:gridCol w:w="977"/>
        <w:gridCol w:w="910"/>
      </w:tblGrid>
      <w:tr w:rsidR="003A04B4" w:rsidRPr="00595E98" w14:paraId="550720F5" w14:textId="77777777" w:rsidTr="003A04B4">
        <w:trPr>
          <w:trHeight w:val="635"/>
        </w:trPr>
        <w:tc>
          <w:tcPr>
            <w:tcW w:w="12432" w:type="dxa"/>
            <w:shd w:val="clear" w:color="auto" w:fill="FFFFFF"/>
          </w:tcPr>
          <w:p w14:paraId="0374053B"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14F956AB"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3C7E945F"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5F0EC778" w14:textId="77777777" w:rsidR="003A04B4" w:rsidRPr="00595E98" w:rsidRDefault="003A04B4" w:rsidP="003A04B4">
            <w:pPr>
              <w:rPr>
                <w:rFonts w:cs="Arial"/>
                <w:szCs w:val="24"/>
                <w:lang w:val="en-US"/>
              </w:rPr>
            </w:pPr>
            <w:r>
              <w:rPr>
                <w:rFonts w:cs="Arial"/>
                <w:b/>
                <w:szCs w:val="24"/>
                <w:lang w:val="en-US"/>
              </w:rPr>
              <w:t>Green</w:t>
            </w:r>
          </w:p>
        </w:tc>
      </w:tr>
      <w:tr w:rsidR="003A04B4" w:rsidRPr="00595E98" w14:paraId="57E58A13" w14:textId="77777777" w:rsidTr="003A04B4">
        <w:trPr>
          <w:trHeight w:val="635"/>
        </w:trPr>
        <w:tc>
          <w:tcPr>
            <w:tcW w:w="12432" w:type="dxa"/>
            <w:shd w:val="clear" w:color="auto" w:fill="FFFFFF"/>
          </w:tcPr>
          <w:p w14:paraId="0D883318"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Families are supported if they have any concerns that their child:</w:t>
            </w:r>
          </w:p>
          <w:p w14:paraId="3D1CDC43" w14:textId="77777777" w:rsidR="003A04B4" w:rsidRPr="00595E98" w:rsidRDefault="003A04B4" w:rsidP="003A04B4">
            <w:pPr>
              <w:numPr>
                <w:ilvl w:val="1"/>
                <w:numId w:val="7"/>
              </w:numPr>
              <w:contextualSpacing/>
              <w:rPr>
                <w:rFonts w:cs="Arial"/>
                <w:szCs w:val="24"/>
                <w:lang w:val="en-US"/>
              </w:rPr>
            </w:pPr>
            <w:r w:rsidRPr="00595E98">
              <w:rPr>
                <w:rFonts w:cs="Arial"/>
                <w:szCs w:val="24"/>
                <w:lang w:val="en-US"/>
              </w:rPr>
              <w:t xml:space="preserve">may be vulnerable to bullying </w:t>
            </w:r>
          </w:p>
          <w:p w14:paraId="173AC731" w14:textId="77777777" w:rsidR="003A04B4" w:rsidRPr="00595E98" w:rsidRDefault="003A04B4" w:rsidP="003A04B4">
            <w:pPr>
              <w:numPr>
                <w:ilvl w:val="1"/>
                <w:numId w:val="7"/>
              </w:numPr>
              <w:contextualSpacing/>
              <w:rPr>
                <w:rFonts w:cs="Arial"/>
                <w:szCs w:val="24"/>
                <w:lang w:val="en-US"/>
              </w:rPr>
            </w:pPr>
            <w:r w:rsidRPr="00595E98">
              <w:rPr>
                <w:rFonts w:cs="Arial"/>
                <w:szCs w:val="24"/>
                <w:lang w:val="en-US"/>
              </w:rPr>
              <w:t xml:space="preserve">may be being bullied </w:t>
            </w:r>
          </w:p>
          <w:p w14:paraId="44F855E7" w14:textId="77777777" w:rsidR="003A04B4" w:rsidRPr="00595E98" w:rsidRDefault="003A04B4" w:rsidP="003A04B4">
            <w:pPr>
              <w:numPr>
                <w:ilvl w:val="1"/>
                <w:numId w:val="7"/>
              </w:numPr>
              <w:contextualSpacing/>
              <w:rPr>
                <w:rFonts w:cs="Arial"/>
                <w:szCs w:val="24"/>
                <w:lang w:val="en-US"/>
              </w:rPr>
            </w:pPr>
            <w:r w:rsidRPr="00595E98">
              <w:rPr>
                <w:rFonts w:cs="Arial"/>
                <w:szCs w:val="24"/>
                <w:lang w:val="en-US"/>
              </w:rPr>
              <w:t>is being bullied or</w:t>
            </w:r>
          </w:p>
          <w:p w14:paraId="0604541E" w14:textId="77777777" w:rsidR="003A04B4" w:rsidRPr="00595E98" w:rsidRDefault="003A04B4" w:rsidP="003A04B4">
            <w:pPr>
              <w:numPr>
                <w:ilvl w:val="1"/>
                <w:numId w:val="7"/>
              </w:numPr>
              <w:contextualSpacing/>
              <w:rPr>
                <w:rFonts w:cs="Arial"/>
                <w:szCs w:val="24"/>
                <w:lang w:val="en-US"/>
              </w:rPr>
            </w:pPr>
            <w:r w:rsidRPr="00595E98">
              <w:rPr>
                <w:rFonts w:cs="Arial"/>
                <w:szCs w:val="24"/>
                <w:lang w:val="en-US"/>
              </w:rPr>
              <w:t>is bullying others.</w:t>
            </w:r>
          </w:p>
        </w:tc>
        <w:tc>
          <w:tcPr>
            <w:tcW w:w="670" w:type="dxa"/>
            <w:shd w:val="clear" w:color="auto" w:fill="FF0000"/>
          </w:tcPr>
          <w:p w14:paraId="6F1BA42A" w14:textId="77777777" w:rsidR="003A04B4" w:rsidRPr="00595E98" w:rsidRDefault="003A04B4" w:rsidP="003A04B4">
            <w:pPr>
              <w:rPr>
                <w:rFonts w:cs="Arial"/>
                <w:szCs w:val="24"/>
                <w:lang w:val="en-US"/>
              </w:rPr>
            </w:pPr>
          </w:p>
        </w:tc>
        <w:tc>
          <w:tcPr>
            <w:tcW w:w="977" w:type="dxa"/>
            <w:shd w:val="clear" w:color="auto" w:fill="FFC000"/>
          </w:tcPr>
          <w:p w14:paraId="1275D1FA" w14:textId="77777777" w:rsidR="003A04B4" w:rsidRPr="00595E98" w:rsidRDefault="003A04B4" w:rsidP="003A04B4">
            <w:pPr>
              <w:rPr>
                <w:rFonts w:cs="Arial"/>
                <w:szCs w:val="24"/>
                <w:lang w:val="en-US"/>
              </w:rPr>
            </w:pPr>
          </w:p>
        </w:tc>
        <w:tc>
          <w:tcPr>
            <w:tcW w:w="910" w:type="dxa"/>
            <w:shd w:val="clear" w:color="auto" w:fill="A8D08D"/>
          </w:tcPr>
          <w:p w14:paraId="4D051AE4" w14:textId="77777777" w:rsidR="003A04B4" w:rsidRPr="00595E98" w:rsidRDefault="003A04B4" w:rsidP="003A04B4">
            <w:pPr>
              <w:rPr>
                <w:rFonts w:cs="Arial"/>
                <w:szCs w:val="24"/>
                <w:lang w:val="en-US"/>
              </w:rPr>
            </w:pPr>
          </w:p>
        </w:tc>
      </w:tr>
      <w:tr w:rsidR="003A04B4" w:rsidRPr="00595E98" w14:paraId="12A0163C" w14:textId="77777777" w:rsidTr="003A04B4">
        <w:trPr>
          <w:trHeight w:val="635"/>
        </w:trPr>
        <w:tc>
          <w:tcPr>
            <w:tcW w:w="12432" w:type="dxa"/>
            <w:shd w:val="clear" w:color="auto" w:fill="FFFFFF"/>
          </w:tcPr>
          <w:p w14:paraId="1BEECE4D"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lastRenderedPageBreak/>
              <w:t>Families are aware of their responsibilities and the school’s expectations around bullying.</w:t>
            </w:r>
          </w:p>
        </w:tc>
        <w:tc>
          <w:tcPr>
            <w:tcW w:w="670" w:type="dxa"/>
            <w:shd w:val="clear" w:color="auto" w:fill="FF0000"/>
          </w:tcPr>
          <w:p w14:paraId="336D19D2" w14:textId="77777777" w:rsidR="003A04B4" w:rsidRPr="00595E98" w:rsidRDefault="003A04B4" w:rsidP="003A04B4">
            <w:pPr>
              <w:rPr>
                <w:rFonts w:cs="Arial"/>
                <w:szCs w:val="24"/>
                <w:lang w:val="en-US"/>
              </w:rPr>
            </w:pPr>
          </w:p>
        </w:tc>
        <w:tc>
          <w:tcPr>
            <w:tcW w:w="977" w:type="dxa"/>
            <w:shd w:val="clear" w:color="auto" w:fill="FFC000"/>
          </w:tcPr>
          <w:p w14:paraId="7B844974" w14:textId="77777777" w:rsidR="003A04B4" w:rsidRPr="00595E98" w:rsidRDefault="003A04B4" w:rsidP="003A04B4">
            <w:pPr>
              <w:rPr>
                <w:rFonts w:cs="Arial"/>
                <w:szCs w:val="24"/>
                <w:lang w:val="en-US"/>
              </w:rPr>
            </w:pPr>
          </w:p>
        </w:tc>
        <w:tc>
          <w:tcPr>
            <w:tcW w:w="910" w:type="dxa"/>
            <w:shd w:val="clear" w:color="auto" w:fill="A8D08D"/>
          </w:tcPr>
          <w:p w14:paraId="1D02E1E0" w14:textId="77777777" w:rsidR="003A04B4" w:rsidRPr="00595E98" w:rsidRDefault="003A04B4" w:rsidP="003A04B4">
            <w:pPr>
              <w:rPr>
                <w:rFonts w:cs="Arial"/>
                <w:szCs w:val="24"/>
                <w:lang w:val="en-US"/>
              </w:rPr>
            </w:pPr>
          </w:p>
        </w:tc>
      </w:tr>
      <w:tr w:rsidR="003A04B4" w:rsidRPr="00595E98" w14:paraId="25ACDA74" w14:textId="77777777" w:rsidTr="003A04B4">
        <w:trPr>
          <w:trHeight w:val="689"/>
        </w:trPr>
        <w:tc>
          <w:tcPr>
            <w:tcW w:w="12432" w:type="dxa"/>
            <w:shd w:val="clear" w:color="auto" w:fill="FFFFFF"/>
          </w:tcPr>
          <w:p w14:paraId="2281B6B1"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Families are clear what the school procedures will be if a bullying incident occurs involving their child.</w:t>
            </w:r>
          </w:p>
        </w:tc>
        <w:tc>
          <w:tcPr>
            <w:tcW w:w="670" w:type="dxa"/>
            <w:shd w:val="clear" w:color="auto" w:fill="FF0000"/>
          </w:tcPr>
          <w:p w14:paraId="654A754C" w14:textId="77777777" w:rsidR="003A04B4" w:rsidRPr="00595E98" w:rsidRDefault="003A04B4" w:rsidP="003A04B4">
            <w:pPr>
              <w:rPr>
                <w:rFonts w:cs="Arial"/>
                <w:szCs w:val="24"/>
                <w:lang w:val="en-US"/>
              </w:rPr>
            </w:pPr>
          </w:p>
        </w:tc>
        <w:tc>
          <w:tcPr>
            <w:tcW w:w="977" w:type="dxa"/>
            <w:shd w:val="clear" w:color="auto" w:fill="FFC000"/>
          </w:tcPr>
          <w:p w14:paraId="7482CC02" w14:textId="77777777" w:rsidR="003A04B4" w:rsidRPr="00595E98" w:rsidRDefault="003A04B4" w:rsidP="003A04B4">
            <w:pPr>
              <w:rPr>
                <w:rFonts w:cs="Arial"/>
                <w:szCs w:val="24"/>
                <w:lang w:val="en-US"/>
              </w:rPr>
            </w:pPr>
          </w:p>
        </w:tc>
        <w:tc>
          <w:tcPr>
            <w:tcW w:w="910" w:type="dxa"/>
            <w:shd w:val="clear" w:color="auto" w:fill="A8D08D"/>
          </w:tcPr>
          <w:p w14:paraId="58D95C0A" w14:textId="77777777" w:rsidR="003A04B4" w:rsidRPr="00595E98" w:rsidRDefault="003A04B4" w:rsidP="003A04B4">
            <w:pPr>
              <w:rPr>
                <w:rFonts w:cs="Arial"/>
                <w:szCs w:val="24"/>
                <w:lang w:val="en-US"/>
              </w:rPr>
            </w:pPr>
          </w:p>
        </w:tc>
      </w:tr>
      <w:tr w:rsidR="003A04B4" w:rsidRPr="00595E98" w14:paraId="2EB139B8" w14:textId="77777777" w:rsidTr="003A04B4">
        <w:trPr>
          <w:trHeight w:val="827"/>
        </w:trPr>
        <w:tc>
          <w:tcPr>
            <w:tcW w:w="12432" w:type="dxa"/>
            <w:shd w:val="clear" w:color="auto" w:fill="FFFFFF"/>
          </w:tcPr>
          <w:p w14:paraId="7345606A"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Information, advice and guidance is given to the families electronically via the website, email, newsletter and displayed in prominent areas around the school.</w:t>
            </w:r>
          </w:p>
        </w:tc>
        <w:tc>
          <w:tcPr>
            <w:tcW w:w="670" w:type="dxa"/>
            <w:shd w:val="clear" w:color="auto" w:fill="FF0000"/>
          </w:tcPr>
          <w:p w14:paraId="4790BF43" w14:textId="77777777" w:rsidR="003A04B4" w:rsidRPr="00595E98" w:rsidRDefault="003A04B4" w:rsidP="003A04B4">
            <w:pPr>
              <w:rPr>
                <w:rFonts w:cs="Arial"/>
                <w:szCs w:val="24"/>
                <w:lang w:val="en-US"/>
              </w:rPr>
            </w:pPr>
          </w:p>
        </w:tc>
        <w:tc>
          <w:tcPr>
            <w:tcW w:w="977" w:type="dxa"/>
            <w:shd w:val="clear" w:color="auto" w:fill="FFC000"/>
          </w:tcPr>
          <w:p w14:paraId="170657D1" w14:textId="77777777" w:rsidR="003A04B4" w:rsidRPr="00595E98" w:rsidRDefault="003A04B4" w:rsidP="003A04B4">
            <w:pPr>
              <w:rPr>
                <w:rFonts w:cs="Arial"/>
                <w:szCs w:val="24"/>
                <w:lang w:val="en-US"/>
              </w:rPr>
            </w:pPr>
          </w:p>
        </w:tc>
        <w:tc>
          <w:tcPr>
            <w:tcW w:w="910" w:type="dxa"/>
            <w:shd w:val="clear" w:color="auto" w:fill="A8D08D"/>
          </w:tcPr>
          <w:p w14:paraId="6963A4AC" w14:textId="77777777" w:rsidR="003A04B4" w:rsidRPr="00595E98" w:rsidRDefault="003A04B4" w:rsidP="003A04B4">
            <w:pPr>
              <w:rPr>
                <w:rFonts w:cs="Arial"/>
                <w:szCs w:val="24"/>
                <w:lang w:val="en-US"/>
              </w:rPr>
            </w:pPr>
          </w:p>
        </w:tc>
      </w:tr>
    </w:tbl>
    <w:p w14:paraId="60001C83" w14:textId="77777777" w:rsidR="003A04B4" w:rsidRDefault="003A04B4">
      <w:pPr>
        <w:rPr>
          <w:rFonts w:cs="Arial"/>
          <w:b/>
          <w:bCs/>
          <w:szCs w:val="24"/>
          <w:lang w:val="en-US"/>
        </w:rPr>
      </w:pPr>
    </w:p>
    <w:p w14:paraId="7F52B12A" w14:textId="77777777" w:rsidR="003A04B4" w:rsidRDefault="003A04B4">
      <w:r w:rsidRPr="00595E98">
        <w:rPr>
          <w:rFonts w:cs="Arial"/>
          <w:b/>
          <w:bCs/>
          <w:szCs w:val="24"/>
          <w:lang w:val="en-US"/>
        </w:rPr>
        <w:t>Curriculum, teaching and learning</w:t>
      </w:r>
    </w:p>
    <w:tbl>
      <w:tblPr>
        <w:tblW w:w="14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0"/>
        <w:gridCol w:w="670"/>
        <w:gridCol w:w="977"/>
        <w:gridCol w:w="910"/>
      </w:tblGrid>
      <w:tr w:rsidR="003A04B4" w:rsidRPr="00595E98" w14:paraId="6E87B7AD" w14:textId="77777777" w:rsidTr="003A04B4">
        <w:trPr>
          <w:trHeight w:val="472"/>
        </w:trPr>
        <w:tc>
          <w:tcPr>
            <w:tcW w:w="12420" w:type="dxa"/>
            <w:shd w:val="clear" w:color="auto" w:fill="FFFFFF"/>
          </w:tcPr>
          <w:p w14:paraId="2263A7D3"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6429FE06"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3A032B1C"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26999F79" w14:textId="77777777" w:rsidR="003A04B4" w:rsidRPr="00595E98" w:rsidRDefault="003A04B4" w:rsidP="003A04B4">
            <w:pPr>
              <w:rPr>
                <w:rFonts w:cs="Arial"/>
                <w:szCs w:val="24"/>
                <w:lang w:val="en-US"/>
              </w:rPr>
            </w:pPr>
            <w:r>
              <w:rPr>
                <w:rFonts w:cs="Arial"/>
                <w:b/>
                <w:szCs w:val="24"/>
                <w:lang w:val="en-US"/>
              </w:rPr>
              <w:t>Green</w:t>
            </w:r>
          </w:p>
        </w:tc>
      </w:tr>
      <w:tr w:rsidR="003A04B4" w:rsidRPr="00595E98" w14:paraId="0126E3F6" w14:textId="77777777" w:rsidTr="003A04B4">
        <w:trPr>
          <w:trHeight w:val="800"/>
        </w:trPr>
        <w:tc>
          <w:tcPr>
            <w:tcW w:w="12420" w:type="dxa"/>
            <w:shd w:val="clear" w:color="auto" w:fill="FFFFFF"/>
          </w:tcPr>
          <w:p w14:paraId="679E5611"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 xml:space="preserve">RSHE, assembly and other cross curricula opportunities are used to celebrate difference and diversity of all </w:t>
            </w:r>
            <w:r>
              <w:rPr>
                <w:rFonts w:cs="Arial"/>
                <w:szCs w:val="24"/>
                <w:lang w:val="en-US"/>
              </w:rPr>
              <w:t>CYP</w:t>
            </w:r>
            <w:r w:rsidRPr="00595E98">
              <w:rPr>
                <w:rFonts w:cs="Arial"/>
                <w:szCs w:val="24"/>
                <w:lang w:val="en-US"/>
              </w:rPr>
              <w:t>, develop</w:t>
            </w:r>
            <w:r>
              <w:rPr>
                <w:rFonts w:cs="Arial"/>
                <w:szCs w:val="24"/>
                <w:lang w:val="en-US"/>
              </w:rPr>
              <w:t xml:space="preserve"> CYP </w:t>
            </w:r>
            <w:r w:rsidRPr="00595E98">
              <w:rPr>
                <w:rFonts w:cs="Arial"/>
                <w:szCs w:val="24"/>
                <w:lang w:val="en-US"/>
              </w:rPr>
              <w:t>understanding of bullying and the impact of bullying including online bullying</w:t>
            </w:r>
          </w:p>
        </w:tc>
        <w:tc>
          <w:tcPr>
            <w:tcW w:w="670" w:type="dxa"/>
            <w:shd w:val="clear" w:color="auto" w:fill="FF0000"/>
          </w:tcPr>
          <w:p w14:paraId="4058AB82" w14:textId="77777777" w:rsidR="003A04B4" w:rsidRPr="00595E98" w:rsidRDefault="003A04B4" w:rsidP="003A04B4">
            <w:pPr>
              <w:rPr>
                <w:rFonts w:cs="Arial"/>
                <w:szCs w:val="24"/>
                <w:lang w:val="en-US"/>
              </w:rPr>
            </w:pPr>
          </w:p>
        </w:tc>
        <w:tc>
          <w:tcPr>
            <w:tcW w:w="977" w:type="dxa"/>
            <w:shd w:val="clear" w:color="auto" w:fill="FFC000"/>
          </w:tcPr>
          <w:p w14:paraId="24B87232" w14:textId="77777777" w:rsidR="003A04B4" w:rsidRPr="00595E98" w:rsidRDefault="003A04B4" w:rsidP="003A04B4">
            <w:pPr>
              <w:rPr>
                <w:rFonts w:cs="Arial"/>
                <w:szCs w:val="24"/>
                <w:lang w:val="en-US"/>
              </w:rPr>
            </w:pPr>
          </w:p>
        </w:tc>
        <w:tc>
          <w:tcPr>
            <w:tcW w:w="910" w:type="dxa"/>
            <w:shd w:val="clear" w:color="auto" w:fill="A8D08D"/>
          </w:tcPr>
          <w:p w14:paraId="5301A514" w14:textId="77777777" w:rsidR="003A04B4" w:rsidRPr="00595E98" w:rsidRDefault="003A04B4" w:rsidP="003A04B4">
            <w:pPr>
              <w:rPr>
                <w:rFonts w:cs="Arial"/>
                <w:szCs w:val="24"/>
                <w:lang w:val="en-US"/>
              </w:rPr>
            </w:pPr>
          </w:p>
        </w:tc>
      </w:tr>
      <w:tr w:rsidR="003A04B4" w:rsidRPr="00595E98" w14:paraId="1DF05812" w14:textId="77777777" w:rsidTr="003A04B4">
        <w:trPr>
          <w:trHeight w:val="661"/>
        </w:trPr>
        <w:tc>
          <w:tcPr>
            <w:tcW w:w="12420" w:type="dxa"/>
            <w:shd w:val="clear" w:color="auto" w:fill="FFFFFF"/>
          </w:tcPr>
          <w:p w14:paraId="4C03F2DD"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The school is involved in Anti-Bullying Week, national campaigns such as Black History Month, Gypsy, Roma and Traveller History Month, Young Carers Action Day and Holocaust Memorial Day and local campaigns such as Norfolk Pride Schools Week and Day of Welcome.</w:t>
            </w:r>
          </w:p>
        </w:tc>
        <w:tc>
          <w:tcPr>
            <w:tcW w:w="670" w:type="dxa"/>
            <w:shd w:val="clear" w:color="auto" w:fill="FF0000"/>
          </w:tcPr>
          <w:p w14:paraId="4E88DF5A" w14:textId="77777777" w:rsidR="003A04B4" w:rsidRPr="00595E98" w:rsidRDefault="003A04B4" w:rsidP="003A04B4">
            <w:pPr>
              <w:rPr>
                <w:rFonts w:cs="Arial"/>
                <w:szCs w:val="24"/>
                <w:lang w:val="en-US"/>
              </w:rPr>
            </w:pPr>
          </w:p>
        </w:tc>
        <w:tc>
          <w:tcPr>
            <w:tcW w:w="977" w:type="dxa"/>
            <w:shd w:val="clear" w:color="auto" w:fill="FFC000"/>
          </w:tcPr>
          <w:p w14:paraId="73ED678B" w14:textId="77777777" w:rsidR="003A04B4" w:rsidRPr="00595E98" w:rsidRDefault="003A04B4" w:rsidP="003A04B4">
            <w:pPr>
              <w:rPr>
                <w:rFonts w:cs="Arial"/>
                <w:szCs w:val="24"/>
                <w:lang w:val="en-US"/>
              </w:rPr>
            </w:pPr>
          </w:p>
        </w:tc>
        <w:tc>
          <w:tcPr>
            <w:tcW w:w="910" w:type="dxa"/>
            <w:shd w:val="clear" w:color="auto" w:fill="A8D08D"/>
          </w:tcPr>
          <w:p w14:paraId="75AA3641" w14:textId="77777777" w:rsidR="003A04B4" w:rsidRPr="00595E98" w:rsidRDefault="003A04B4" w:rsidP="003A04B4">
            <w:pPr>
              <w:rPr>
                <w:rFonts w:cs="Arial"/>
                <w:szCs w:val="24"/>
                <w:lang w:val="en-US"/>
              </w:rPr>
            </w:pPr>
          </w:p>
        </w:tc>
      </w:tr>
      <w:tr w:rsidR="003A04B4" w:rsidRPr="00595E98" w14:paraId="740437B0" w14:textId="77777777" w:rsidTr="003A04B4">
        <w:trPr>
          <w:trHeight w:val="661"/>
        </w:trPr>
        <w:tc>
          <w:tcPr>
            <w:tcW w:w="12420" w:type="dxa"/>
            <w:shd w:val="clear" w:color="auto" w:fill="FFFFFF"/>
          </w:tcPr>
          <w:p w14:paraId="286F7924"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 xml:space="preserve">There is sufficient, quality assured materials and resources available to all staff for educating </w:t>
            </w:r>
            <w:r>
              <w:rPr>
                <w:rFonts w:cs="Arial"/>
                <w:szCs w:val="24"/>
                <w:lang w:val="en-US"/>
              </w:rPr>
              <w:t>CYP</w:t>
            </w:r>
            <w:r w:rsidRPr="00595E98">
              <w:rPr>
                <w:rFonts w:cs="Arial"/>
                <w:szCs w:val="24"/>
                <w:lang w:val="en-US"/>
              </w:rPr>
              <w:t xml:space="preserve"> about bullying, being an active bystander and asking for help for themselves and others.</w:t>
            </w:r>
          </w:p>
        </w:tc>
        <w:tc>
          <w:tcPr>
            <w:tcW w:w="670" w:type="dxa"/>
            <w:shd w:val="clear" w:color="auto" w:fill="FF0000"/>
          </w:tcPr>
          <w:p w14:paraId="5787224F" w14:textId="77777777" w:rsidR="003A04B4" w:rsidRPr="00595E98" w:rsidRDefault="003A04B4" w:rsidP="003A04B4">
            <w:pPr>
              <w:rPr>
                <w:rFonts w:cs="Arial"/>
                <w:szCs w:val="24"/>
                <w:lang w:val="en-US"/>
              </w:rPr>
            </w:pPr>
          </w:p>
        </w:tc>
        <w:tc>
          <w:tcPr>
            <w:tcW w:w="977" w:type="dxa"/>
            <w:shd w:val="clear" w:color="auto" w:fill="FFC000"/>
          </w:tcPr>
          <w:p w14:paraId="763C0E6E" w14:textId="77777777" w:rsidR="003A04B4" w:rsidRPr="00595E98" w:rsidRDefault="003A04B4" w:rsidP="003A04B4">
            <w:pPr>
              <w:rPr>
                <w:rFonts w:cs="Arial"/>
                <w:szCs w:val="24"/>
                <w:lang w:val="en-US"/>
              </w:rPr>
            </w:pPr>
          </w:p>
        </w:tc>
        <w:tc>
          <w:tcPr>
            <w:tcW w:w="910" w:type="dxa"/>
            <w:shd w:val="clear" w:color="auto" w:fill="A8D08D"/>
          </w:tcPr>
          <w:p w14:paraId="79029B14" w14:textId="77777777" w:rsidR="003A04B4" w:rsidRPr="00595E98" w:rsidRDefault="003A04B4" w:rsidP="003A04B4">
            <w:pPr>
              <w:rPr>
                <w:rFonts w:cs="Arial"/>
                <w:szCs w:val="24"/>
                <w:lang w:val="en-US"/>
              </w:rPr>
            </w:pPr>
          </w:p>
        </w:tc>
      </w:tr>
    </w:tbl>
    <w:p w14:paraId="60D94AA7" w14:textId="77777777" w:rsidR="003A04B4" w:rsidRDefault="003A04B4">
      <w:pPr>
        <w:rPr>
          <w:rFonts w:cs="Arial"/>
          <w:b/>
          <w:bCs/>
          <w:szCs w:val="24"/>
          <w:lang w:val="en-US"/>
        </w:rPr>
      </w:pPr>
    </w:p>
    <w:p w14:paraId="0B11E248" w14:textId="77777777" w:rsidR="003A04B4" w:rsidRDefault="003A04B4">
      <w:r w:rsidRPr="00595E98">
        <w:rPr>
          <w:rFonts w:cs="Arial"/>
          <w:b/>
          <w:bCs/>
          <w:szCs w:val="24"/>
          <w:lang w:val="en-US"/>
        </w:rPr>
        <w:t>Staff CPD</w:t>
      </w: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6"/>
        <w:gridCol w:w="670"/>
        <w:gridCol w:w="977"/>
        <w:gridCol w:w="910"/>
      </w:tblGrid>
      <w:tr w:rsidR="003A04B4" w:rsidRPr="00595E98" w14:paraId="475F4FB0" w14:textId="77777777" w:rsidTr="003A04B4">
        <w:trPr>
          <w:trHeight w:val="562"/>
        </w:trPr>
        <w:tc>
          <w:tcPr>
            <w:tcW w:w="12436" w:type="dxa"/>
            <w:shd w:val="clear" w:color="auto" w:fill="FFFFFF"/>
          </w:tcPr>
          <w:p w14:paraId="48229010"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70FDA095"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4D066E1D"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0ABB1D4A" w14:textId="77777777" w:rsidR="003A04B4" w:rsidRPr="00595E98" w:rsidRDefault="003A04B4" w:rsidP="003A04B4">
            <w:pPr>
              <w:rPr>
                <w:rFonts w:cs="Arial"/>
                <w:szCs w:val="24"/>
                <w:lang w:val="en-US"/>
              </w:rPr>
            </w:pPr>
            <w:r>
              <w:rPr>
                <w:rFonts w:cs="Arial"/>
                <w:b/>
                <w:szCs w:val="24"/>
                <w:lang w:val="en-US"/>
              </w:rPr>
              <w:t>Green</w:t>
            </w:r>
          </w:p>
        </w:tc>
      </w:tr>
      <w:tr w:rsidR="003A04B4" w:rsidRPr="00595E98" w14:paraId="1AC8E2C3" w14:textId="77777777" w:rsidTr="003A04B4">
        <w:trPr>
          <w:trHeight w:val="562"/>
        </w:trPr>
        <w:tc>
          <w:tcPr>
            <w:tcW w:w="12436" w:type="dxa"/>
            <w:shd w:val="clear" w:color="auto" w:fill="FFFFFF"/>
          </w:tcPr>
          <w:p w14:paraId="2E80E86F"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Training is provided for all staff on how to effectively manage bullying, following the school’s policy and procedures.</w:t>
            </w:r>
          </w:p>
        </w:tc>
        <w:tc>
          <w:tcPr>
            <w:tcW w:w="670" w:type="dxa"/>
            <w:shd w:val="clear" w:color="auto" w:fill="FF0000"/>
          </w:tcPr>
          <w:p w14:paraId="2261A778" w14:textId="77777777" w:rsidR="003A04B4" w:rsidRPr="00595E98" w:rsidRDefault="003A04B4" w:rsidP="003A04B4">
            <w:pPr>
              <w:rPr>
                <w:rFonts w:cs="Arial"/>
                <w:szCs w:val="24"/>
                <w:lang w:val="en-US"/>
              </w:rPr>
            </w:pPr>
          </w:p>
        </w:tc>
        <w:tc>
          <w:tcPr>
            <w:tcW w:w="977" w:type="dxa"/>
            <w:shd w:val="clear" w:color="auto" w:fill="FFC000"/>
          </w:tcPr>
          <w:p w14:paraId="17626277" w14:textId="77777777" w:rsidR="003A04B4" w:rsidRPr="00595E98" w:rsidRDefault="003A04B4" w:rsidP="003A04B4">
            <w:pPr>
              <w:rPr>
                <w:rFonts w:cs="Arial"/>
                <w:szCs w:val="24"/>
                <w:lang w:val="en-US"/>
              </w:rPr>
            </w:pPr>
          </w:p>
        </w:tc>
        <w:tc>
          <w:tcPr>
            <w:tcW w:w="910" w:type="dxa"/>
            <w:shd w:val="clear" w:color="auto" w:fill="A8D08D"/>
          </w:tcPr>
          <w:p w14:paraId="346827BA" w14:textId="77777777" w:rsidR="003A04B4" w:rsidRPr="00595E98" w:rsidRDefault="003A04B4" w:rsidP="003A04B4">
            <w:pPr>
              <w:rPr>
                <w:rFonts w:cs="Arial"/>
                <w:szCs w:val="24"/>
                <w:lang w:val="en-US"/>
              </w:rPr>
            </w:pPr>
          </w:p>
        </w:tc>
      </w:tr>
      <w:tr w:rsidR="003A04B4" w:rsidRPr="00595E98" w14:paraId="60A8C645" w14:textId="77777777" w:rsidTr="003A04B4">
        <w:trPr>
          <w:trHeight w:val="559"/>
        </w:trPr>
        <w:tc>
          <w:tcPr>
            <w:tcW w:w="12436" w:type="dxa"/>
            <w:shd w:val="clear" w:color="auto" w:fill="FFFFFF"/>
          </w:tcPr>
          <w:p w14:paraId="27B024AA"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Staff are supported to recognise hate incidents, understand how they relate to safeguarding and how to make a report.</w:t>
            </w:r>
          </w:p>
        </w:tc>
        <w:tc>
          <w:tcPr>
            <w:tcW w:w="670" w:type="dxa"/>
            <w:shd w:val="clear" w:color="auto" w:fill="FF0000"/>
          </w:tcPr>
          <w:p w14:paraId="2B7B4EB9" w14:textId="77777777" w:rsidR="003A04B4" w:rsidRPr="00595E98" w:rsidRDefault="003A04B4" w:rsidP="003A04B4">
            <w:pPr>
              <w:rPr>
                <w:rFonts w:cs="Arial"/>
                <w:szCs w:val="24"/>
                <w:lang w:val="en-US"/>
              </w:rPr>
            </w:pPr>
          </w:p>
        </w:tc>
        <w:tc>
          <w:tcPr>
            <w:tcW w:w="977" w:type="dxa"/>
            <w:shd w:val="clear" w:color="auto" w:fill="FFC000"/>
          </w:tcPr>
          <w:p w14:paraId="3487D531" w14:textId="77777777" w:rsidR="003A04B4" w:rsidRPr="00595E98" w:rsidRDefault="003A04B4" w:rsidP="003A04B4">
            <w:pPr>
              <w:rPr>
                <w:rFonts w:cs="Arial"/>
                <w:szCs w:val="24"/>
                <w:lang w:val="en-US"/>
              </w:rPr>
            </w:pPr>
          </w:p>
        </w:tc>
        <w:tc>
          <w:tcPr>
            <w:tcW w:w="910" w:type="dxa"/>
            <w:shd w:val="clear" w:color="auto" w:fill="A8D08D"/>
          </w:tcPr>
          <w:p w14:paraId="5A0A854D" w14:textId="77777777" w:rsidR="003A04B4" w:rsidRPr="00595E98" w:rsidRDefault="003A04B4" w:rsidP="003A04B4">
            <w:pPr>
              <w:rPr>
                <w:rFonts w:cs="Arial"/>
                <w:szCs w:val="24"/>
                <w:lang w:val="en-US"/>
              </w:rPr>
            </w:pPr>
          </w:p>
        </w:tc>
      </w:tr>
      <w:tr w:rsidR="003A04B4" w:rsidRPr="00595E98" w14:paraId="58C6FEC4" w14:textId="77777777" w:rsidTr="003A04B4">
        <w:trPr>
          <w:trHeight w:val="559"/>
        </w:trPr>
        <w:tc>
          <w:tcPr>
            <w:tcW w:w="12436" w:type="dxa"/>
            <w:shd w:val="clear" w:color="auto" w:fill="FFFFFF"/>
          </w:tcPr>
          <w:p w14:paraId="45CB231A"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All staff are encouraged to and practice exemplary conduct towards each other and CYPs.</w:t>
            </w:r>
          </w:p>
        </w:tc>
        <w:tc>
          <w:tcPr>
            <w:tcW w:w="670" w:type="dxa"/>
            <w:shd w:val="clear" w:color="auto" w:fill="FF0000"/>
          </w:tcPr>
          <w:p w14:paraId="1D0E74B7" w14:textId="77777777" w:rsidR="003A04B4" w:rsidRPr="00595E98" w:rsidRDefault="003A04B4" w:rsidP="003A04B4">
            <w:pPr>
              <w:rPr>
                <w:rFonts w:cs="Arial"/>
                <w:szCs w:val="24"/>
                <w:lang w:val="en-US"/>
              </w:rPr>
            </w:pPr>
          </w:p>
        </w:tc>
        <w:tc>
          <w:tcPr>
            <w:tcW w:w="977" w:type="dxa"/>
            <w:shd w:val="clear" w:color="auto" w:fill="FFC000"/>
          </w:tcPr>
          <w:p w14:paraId="4EA042E8" w14:textId="77777777" w:rsidR="003A04B4" w:rsidRPr="00595E98" w:rsidRDefault="003A04B4" w:rsidP="003A04B4">
            <w:pPr>
              <w:rPr>
                <w:rFonts w:cs="Arial"/>
                <w:szCs w:val="24"/>
                <w:lang w:val="en-US"/>
              </w:rPr>
            </w:pPr>
          </w:p>
        </w:tc>
        <w:tc>
          <w:tcPr>
            <w:tcW w:w="910" w:type="dxa"/>
            <w:shd w:val="clear" w:color="auto" w:fill="A8D08D"/>
          </w:tcPr>
          <w:p w14:paraId="7533A17C" w14:textId="77777777" w:rsidR="003A04B4" w:rsidRPr="00595E98" w:rsidRDefault="003A04B4" w:rsidP="003A04B4">
            <w:pPr>
              <w:rPr>
                <w:rFonts w:cs="Arial"/>
                <w:szCs w:val="24"/>
                <w:lang w:val="en-US"/>
              </w:rPr>
            </w:pPr>
          </w:p>
        </w:tc>
      </w:tr>
    </w:tbl>
    <w:p w14:paraId="6528949F" w14:textId="77777777" w:rsidR="003A04B4" w:rsidRDefault="003A04B4">
      <w:pPr>
        <w:rPr>
          <w:rFonts w:cs="Arial"/>
          <w:b/>
          <w:bCs/>
          <w:szCs w:val="24"/>
          <w:lang w:val="en-US"/>
        </w:rPr>
      </w:pPr>
    </w:p>
    <w:p w14:paraId="60DA756C" w14:textId="77777777" w:rsidR="003A04B4" w:rsidRDefault="003A04B4">
      <w:r w:rsidRPr="00595E98">
        <w:rPr>
          <w:rFonts w:cs="Arial"/>
          <w:b/>
          <w:bCs/>
          <w:szCs w:val="24"/>
          <w:lang w:val="en-US"/>
        </w:rPr>
        <w:t>Assessment, recording and reporting</w:t>
      </w: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2"/>
        <w:gridCol w:w="670"/>
        <w:gridCol w:w="977"/>
        <w:gridCol w:w="910"/>
      </w:tblGrid>
      <w:tr w:rsidR="003A04B4" w:rsidRPr="00595E98" w14:paraId="300F8CCE" w14:textId="77777777" w:rsidTr="003A04B4">
        <w:trPr>
          <w:trHeight w:val="488"/>
        </w:trPr>
        <w:tc>
          <w:tcPr>
            <w:tcW w:w="12592" w:type="dxa"/>
            <w:shd w:val="clear" w:color="auto" w:fill="FFFFFF"/>
          </w:tcPr>
          <w:p w14:paraId="37D78C06" w14:textId="77777777" w:rsidR="003A04B4" w:rsidRPr="00595E98" w:rsidRDefault="003A04B4" w:rsidP="003A04B4">
            <w:pPr>
              <w:contextualSpacing/>
              <w:rPr>
                <w:rFonts w:cs="Arial"/>
                <w:szCs w:val="24"/>
                <w:lang w:val="en-US"/>
              </w:rPr>
            </w:pPr>
            <w:r w:rsidRPr="00595E98">
              <w:rPr>
                <w:rFonts w:cs="Arial"/>
                <w:b/>
                <w:szCs w:val="24"/>
                <w:lang w:val="en-US"/>
              </w:rPr>
              <w:lastRenderedPageBreak/>
              <w:t>Best practice example</w:t>
            </w:r>
          </w:p>
        </w:tc>
        <w:tc>
          <w:tcPr>
            <w:tcW w:w="670" w:type="dxa"/>
            <w:shd w:val="clear" w:color="auto" w:fill="FF0000"/>
          </w:tcPr>
          <w:p w14:paraId="63238936"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6553BDF2"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58AAEB3E" w14:textId="77777777" w:rsidR="003A04B4" w:rsidRPr="00595E98" w:rsidRDefault="003A04B4" w:rsidP="003A04B4">
            <w:pPr>
              <w:rPr>
                <w:rFonts w:cs="Arial"/>
                <w:szCs w:val="24"/>
                <w:lang w:val="en-US"/>
              </w:rPr>
            </w:pPr>
            <w:r>
              <w:rPr>
                <w:rFonts w:cs="Arial"/>
                <w:b/>
                <w:szCs w:val="24"/>
                <w:lang w:val="en-US"/>
              </w:rPr>
              <w:t>Green</w:t>
            </w:r>
          </w:p>
        </w:tc>
      </w:tr>
      <w:tr w:rsidR="003A04B4" w:rsidRPr="00595E98" w14:paraId="48BBCC50" w14:textId="77777777" w:rsidTr="003A04B4">
        <w:trPr>
          <w:trHeight w:val="488"/>
        </w:trPr>
        <w:tc>
          <w:tcPr>
            <w:tcW w:w="12592" w:type="dxa"/>
            <w:shd w:val="clear" w:color="auto" w:fill="FFFFFF"/>
          </w:tcPr>
          <w:p w14:paraId="5F998829" w14:textId="77777777" w:rsidR="003A04B4" w:rsidRPr="00595E98" w:rsidRDefault="003A04B4" w:rsidP="003A04B4">
            <w:pPr>
              <w:numPr>
                <w:ilvl w:val="0"/>
                <w:numId w:val="6"/>
              </w:numPr>
              <w:contextualSpacing/>
              <w:rPr>
                <w:rFonts w:cs="Arial"/>
                <w:szCs w:val="24"/>
                <w:lang w:val="en-US"/>
              </w:rPr>
            </w:pPr>
            <w:r w:rsidRPr="00595E98">
              <w:rPr>
                <w:rFonts w:cs="Arial"/>
                <w:szCs w:val="24"/>
                <w:lang w:val="en-US"/>
              </w:rPr>
              <w:t>Clear guidance, policies and procedures are provided for all staff to support them to effectively record and report bullying incidents.</w:t>
            </w:r>
          </w:p>
        </w:tc>
        <w:tc>
          <w:tcPr>
            <w:tcW w:w="670" w:type="dxa"/>
            <w:shd w:val="clear" w:color="auto" w:fill="FF0000"/>
          </w:tcPr>
          <w:p w14:paraId="2009781F" w14:textId="77777777" w:rsidR="003A04B4" w:rsidRPr="00595E98" w:rsidRDefault="003A04B4" w:rsidP="003A04B4">
            <w:pPr>
              <w:rPr>
                <w:rFonts w:cs="Arial"/>
                <w:szCs w:val="24"/>
                <w:lang w:val="en-US"/>
              </w:rPr>
            </w:pPr>
          </w:p>
        </w:tc>
        <w:tc>
          <w:tcPr>
            <w:tcW w:w="977" w:type="dxa"/>
            <w:shd w:val="clear" w:color="auto" w:fill="FFC000"/>
          </w:tcPr>
          <w:p w14:paraId="2651EDF8" w14:textId="77777777" w:rsidR="003A04B4" w:rsidRPr="00595E98" w:rsidRDefault="003A04B4" w:rsidP="003A04B4">
            <w:pPr>
              <w:rPr>
                <w:rFonts w:cs="Arial"/>
                <w:szCs w:val="24"/>
                <w:lang w:val="en-US"/>
              </w:rPr>
            </w:pPr>
          </w:p>
        </w:tc>
        <w:tc>
          <w:tcPr>
            <w:tcW w:w="910" w:type="dxa"/>
            <w:shd w:val="clear" w:color="auto" w:fill="A8D08D"/>
          </w:tcPr>
          <w:p w14:paraId="3022F91E" w14:textId="77777777" w:rsidR="003A04B4" w:rsidRPr="00595E98" w:rsidRDefault="003A04B4" w:rsidP="003A04B4">
            <w:pPr>
              <w:rPr>
                <w:rFonts w:cs="Arial"/>
                <w:szCs w:val="24"/>
                <w:lang w:val="en-US"/>
              </w:rPr>
            </w:pPr>
          </w:p>
        </w:tc>
      </w:tr>
      <w:tr w:rsidR="003A04B4" w:rsidRPr="00595E98" w14:paraId="122F41C2" w14:textId="77777777" w:rsidTr="003A04B4">
        <w:trPr>
          <w:trHeight w:val="486"/>
        </w:trPr>
        <w:tc>
          <w:tcPr>
            <w:tcW w:w="12592" w:type="dxa"/>
            <w:shd w:val="clear" w:color="auto" w:fill="FFFFFF"/>
          </w:tcPr>
          <w:p w14:paraId="6799FFC9" w14:textId="77777777" w:rsidR="003A04B4" w:rsidRPr="00595E98" w:rsidRDefault="003A04B4" w:rsidP="003A04B4">
            <w:pPr>
              <w:numPr>
                <w:ilvl w:val="0"/>
                <w:numId w:val="6"/>
              </w:numPr>
              <w:contextualSpacing/>
              <w:rPr>
                <w:rFonts w:cs="Arial"/>
                <w:szCs w:val="24"/>
                <w:lang w:val="en-US"/>
              </w:rPr>
            </w:pPr>
            <w:r w:rsidRPr="00F84A68">
              <w:rPr>
                <w:rFonts w:cs="Arial"/>
                <w:szCs w:val="24"/>
                <w:lang w:val="en-US"/>
              </w:rPr>
              <w:t>Analyse records regularly to acknowledge training needs for staff and to identify any patterns, for example, with regard to people, places, times and groups.</w:t>
            </w:r>
          </w:p>
        </w:tc>
        <w:tc>
          <w:tcPr>
            <w:tcW w:w="670" w:type="dxa"/>
            <w:shd w:val="clear" w:color="auto" w:fill="FF0000"/>
          </w:tcPr>
          <w:p w14:paraId="19F6C359" w14:textId="77777777" w:rsidR="003A04B4" w:rsidRPr="00595E98" w:rsidRDefault="003A04B4" w:rsidP="003A04B4">
            <w:pPr>
              <w:rPr>
                <w:rFonts w:cs="Arial"/>
                <w:szCs w:val="24"/>
                <w:lang w:val="en-US"/>
              </w:rPr>
            </w:pPr>
          </w:p>
        </w:tc>
        <w:tc>
          <w:tcPr>
            <w:tcW w:w="977" w:type="dxa"/>
            <w:shd w:val="clear" w:color="auto" w:fill="FFC000"/>
          </w:tcPr>
          <w:p w14:paraId="2AB0F471" w14:textId="77777777" w:rsidR="003A04B4" w:rsidRPr="00595E98" w:rsidRDefault="003A04B4" w:rsidP="003A04B4">
            <w:pPr>
              <w:rPr>
                <w:rFonts w:cs="Arial"/>
                <w:szCs w:val="24"/>
                <w:lang w:val="en-US"/>
              </w:rPr>
            </w:pPr>
          </w:p>
        </w:tc>
        <w:tc>
          <w:tcPr>
            <w:tcW w:w="910" w:type="dxa"/>
            <w:shd w:val="clear" w:color="auto" w:fill="A8D08D"/>
          </w:tcPr>
          <w:p w14:paraId="619E54FC" w14:textId="77777777" w:rsidR="003A04B4" w:rsidRPr="00595E98" w:rsidRDefault="003A04B4" w:rsidP="003A04B4">
            <w:pPr>
              <w:rPr>
                <w:rFonts w:cs="Arial"/>
                <w:szCs w:val="24"/>
                <w:lang w:val="en-US"/>
              </w:rPr>
            </w:pPr>
          </w:p>
        </w:tc>
      </w:tr>
    </w:tbl>
    <w:p w14:paraId="39FA6CC5" w14:textId="77777777" w:rsidR="00DE5ACF" w:rsidRPr="00DE5ACF" w:rsidRDefault="00DE5ACF" w:rsidP="00DE5ACF">
      <w:pPr>
        <w:rPr>
          <w:rFonts w:ascii="Calibri" w:hAnsi="Calibri"/>
          <w:szCs w:val="24"/>
          <w:lang w:val="en-US"/>
        </w:rPr>
      </w:pPr>
    </w:p>
    <w:p w14:paraId="572B8B5F" w14:textId="77777777" w:rsidR="00DE5ACF" w:rsidRPr="00DE5ACF" w:rsidRDefault="00DE5ACF" w:rsidP="00DE5ACF">
      <w:pPr>
        <w:tabs>
          <w:tab w:val="left" w:pos="3504"/>
        </w:tabs>
        <w:rPr>
          <w:rFonts w:ascii="Calibri" w:hAnsi="Calibri"/>
          <w:szCs w:val="24"/>
          <w:lang w:val="en-US"/>
        </w:rPr>
      </w:pPr>
    </w:p>
    <w:p w14:paraId="3C8E9221" w14:textId="77777777" w:rsidR="00DE5ACF" w:rsidRPr="00DE5ACF" w:rsidRDefault="00DE5ACF" w:rsidP="00DE5ACF">
      <w:pPr>
        <w:tabs>
          <w:tab w:val="left" w:pos="3504"/>
        </w:tabs>
        <w:rPr>
          <w:rFonts w:ascii="Calibri" w:hAnsi="Calibri"/>
          <w:szCs w:val="24"/>
          <w:lang w:val="en-US"/>
        </w:rPr>
      </w:pPr>
    </w:p>
    <w:p w14:paraId="4488D4EE" w14:textId="77777777" w:rsidR="00A70E2E" w:rsidRDefault="00A70E2E" w:rsidP="00164C3E">
      <w:pPr>
        <w:rPr>
          <w:rFonts w:cs="Arial"/>
          <w:sz w:val="28"/>
          <w:szCs w:val="28"/>
          <w:lang w:eastAsia="en-GB"/>
        </w:rPr>
      </w:pPr>
    </w:p>
    <w:sectPr w:rsidR="00A70E2E" w:rsidSect="00862E70">
      <w:headerReference w:type="default" r:id="rId7"/>
      <w:footerReference w:type="default" r:id="rId8"/>
      <w:pgSz w:w="16840" w:h="11907" w:orient="landscape" w:code="9"/>
      <w:pgMar w:top="1412" w:right="397" w:bottom="1412"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7765" w14:textId="77777777" w:rsidR="00702300" w:rsidRDefault="00702300">
      <w:r>
        <w:separator/>
      </w:r>
    </w:p>
  </w:endnote>
  <w:endnote w:type="continuationSeparator" w:id="0">
    <w:p w14:paraId="0C6A08B9" w14:textId="77777777" w:rsidR="00702300" w:rsidRDefault="0070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6742" w14:textId="5AE51727" w:rsidR="00EC19AD" w:rsidRDefault="00B37738">
    <w:pPr>
      <w:pStyle w:val="Footer"/>
    </w:pPr>
    <w:r>
      <w:rPr>
        <w:noProof/>
      </w:rPr>
      <w:drawing>
        <wp:anchor distT="0" distB="0" distL="114300" distR="114300" simplePos="0" relativeHeight="251658752" behindDoc="1" locked="0" layoutInCell="1" allowOverlap="1" wp14:anchorId="18077F85" wp14:editId="463B7236">
          <wp:simplePos x="0" y="0"/>
          <wp:positionH relativeFrom="column">
            <wp:posOffset>8759825</wp:posOffset>
          </wp:positionH>
          <wp:positionV relativeFrom="paragraph">
            <wp:posOffset>-323215</wp:posOffset>
          </wp:positionV>
          <wp:extent cx="1177290" cy="773430"/>
          <wp:effectExtent l="0" t="0" r="0" b="0"/>
          <wp:wrapTight wrapText="bothSides">
            <wp:wrapPolygon edited="0">
              <wp:start x="0" y="0"/>
              <wp:lineTo x="0" y="21281"/>
              <wp:lineTo x="21320" y="21281"/>
              <wp:lineTo x="21320" y="0"/>
              <wp:lineTo x="0" y="0"/>
            </wp:wrapPolygon>
          </wp:wrapTight>
          <wp:docPr id="1283696561" name="Picture 1283696561" descr="Flou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Flour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72B3CD42" wp14:editId="4929F36C">
          <wp:simplePos x="0" y="0"/>
          <wp:positionH relativeFrom="margin">
            <wp:posOffset>-495300</wp:posOffset>
          </wp:positionH>
          <wp:positionV relativeFrom="paragraph">
            <wp:posOffset>-117475</wp:posOffset>
          </wp:positionV>
          <wp:extent cx="1352550" cy="599440"/>
          <wp:effectExtent l="0" t="0" r="0" b="0"/>
          <wp:wrapTight wrapText="bothSides">
            <wp:wrapPolygon edited="0">
              <wp:start x="15820" y="0"/>
              <wp:lineTo x="0" y="686"/>
              <wp:lineTo x="0" y="18534"/>
              <wp:lineTo x="19470" y="20593"/>
              <wp:lineTo x="21296" y="20593"/>
              <wp:lineTo x="21296" y="17847"/>
              <wp:lineTo x="20992" y="10297"/>
              <wp:lineTo x="19470" y="2746"/>
              <wp:lineTo x="18558" y="0"/>
              <wp:lineTo x="15820" y="0"/>
            </wp:wrapPolygon>
          </wp:wrapTight>
          <wp:docPr id="1027490359" name="Picture 1027490359" descr="Inclusion and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Inclusion and S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793D" w14:textId="77777777" w:rsidR="00702300" w:rsidRDefault="00702300">
      <w:r>
        <w:separator/>
      </w:r>
    </w:p>
  </w:footnote>
  <w:footnote w:type="continuationSeparator" w:id="0">
    <w:p w14:paraId="1A0F464F" w14:textId="77777777" w:rsidR="00702300" w:rsidRDefault="0070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077C" w14:textId="3623E4F3" w:rsidR="008C6F86" w:rsidRDefault="00B37738" w:rsidP="008C6F86">
    <w:pPr>
      <w:pStyle w:val="Header"/>
      <w:tabs>
        <w:tab w:val="clear" w:pos="4153"/>
        <w:tab w:val="clear" w:pos="8306"/>
        <w:tab w:val="left" w:pos="807"/>
      </w:tabs>
    </w:pPr>
    <w:r>
      <w:rPr>
        <w:noProof/>
      </w:rPr>
      <w:drawing>
        <wp:anchor distT="0" distB="0" distL="114300" distR="114300" simplePos="0" relativeHeight="251657728" behindDoc="1" locked="0" layoutInCell="1" allowOverlap="1" wp14:anchorId="2F52D6CF" wp14:editId="66498D0D">
          <wp:simplePos x="0" y="0"/>
          <wp:positionH relativeFrom="column">
            <wp:posOffset>-565785</wp:posOffset>
          </wp:positionH>
          <wp:positionV relativeFrom="paragraph">
            <wp:posOffset>-297180</wp:posOffset>
          </wp:positionV>
          <wp:extent cx="1976755" cy="613410"/>
          <wp:effectExtent l="0" t="0" r="0" b="0"/>
          <wp:wrapTight wrapText="bothSides">
            <wp:wrapPolygon edited="0">
              <wp:start x="0" y="0"/>
              <wp:lineTo x="0" y="20795"/>
              <wp:lineTo x="21440" y="20795"/>
              <wp:lineTo x="21440" y="0"/>
              <wp:lineTo x="0" y="0"/>
            </wp:wrapPolygon>
          </wp:wrapTight>
          <wp:docPr id="1210944026" name="Picture 1210944026"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orfolk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F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E7"/>
    <w:multiLevelType w:val="hybridMultilevel"/>
    <w:tmpl w:val="74A4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765B2"/>
    <w:multiLevelType w:val="hybridMultilevel"/>
    <w:tmpl w:val="3194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67819"/>
    <w:multiLevelType w:val="hybridMultilevel"/>
    <w:tmpl w:val="11CAB9A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D2A81"/>
    <w:multiLevelType w:val="hybridMultilevel"/>
    <w:tmpl w:val="7FAA4350"/>
    <w:lvl w:ilvl="0" w:tplc="094CE42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E4C41"/>
    <w:multiLevelType w:val="hybridMultilevel"/>
    <w:tmpl w:val="5D4A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80AD0"/>
    <w:multiLevelType w:val="hybridMultilevel"/>
    <w:tmpl w:val="DC309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F73474"/>
    <w:multiLevelType w:val="hybridMultilevel"/>
    <w:tmpl w:val="F5789F5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C041E5"/>
    <w:multiLevelType w:val="hybridMultilevel"/>
    <w:tmpl w:val="575E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5174D"/>
    <w:multiLevelType w:val="hybridMultilevel"/>
    <w:tmpl w:val="5D74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4431950">
    <w:abstractNumId w:val="8"/>
  </w:num>
  <w:num w:numId="2" w16cid:durableId="1227490977">
    <w:abstractNumId w:val="4"/>
  </w:num>
  <w:num w:numId="3" w16cid:durableId="1940064925">
    <w:abstractNumId w:val="5"/>
  </w:num>
  <w:num w:numId="4" w16cid:durableId="1702045465">
    <w:abstractNumId w:val="1"/>
  </w:num>
  <w:num w:numId="5" w16cid:durableId="555894984">
    <w:abstractNumId w:val="3"/>
  </w:num>
  <w:num w:numId="6" w16cid:durableId="1375930857">
    <w:abstractNumId w:val="2"/>
  </w:num>
  <w:num w:numId="7" w16cid:durableId="1697459338">
    <w:abstractNumId w:val="6"/>
  </w:num>
  <w:num w:numId="8" w16cid:durableId="1839273594">
    <w:abstractNumId w:val="0"/>
  </w:num>
  <w:num w:numId="9" w16cid:durableId="91584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EC"/>
    <w:rsid w:val="000054F9"/>
    <w:rsid w:val="000311A4"/>
    <w:rsid w:val="0006170B"/>
    <w:rsid w:val="0007125C"/>
    <w:rsid w:val="0008394C"/>
    <w:rsid w:val="00090E2F"/>
    <w:rsid w:val="0011138D"/>
    <w:rsid w:val="00146C85"/>
    <w:rsid w:val="00164C3E"/>
    <w:rsid w:val="00170E00"/>
    <w:rsid w:val="001913C2"/>
    <w:rsid w:val="001A1539"/>
    <w:rsid w:val="001B56F2"/>
    <w:rsid w:val="001C6D4D"/>
    <w:rsid w:val="001D0079"/>
    <w:rsid w:val="00227C39"/>
    <w:rsid w:val="00243027"/>
    <w:rsid w:val="002434F8"/>
    <w:rsid w:val="00260FC9"/>
    <w:rsid w:val="0028677B"/>
    <w:rsid w:val="002D1778"/>
    <w:rsid w:val="002F1641"/>
    <w:rsid w:val="002F29AF"/>
    <w:rsid w:val="002F4B5C"/>
    <w:rsid w:val="002F6521"/>
    <w:rsid w:val="003177BC"/>
    <w:rsid w:val="00332B3B"/>
    <w:rsid w:val="00352DA8"/>
    <w:rsid w:val="00353068"/>
    <w:rsid w:val="00373E3D"/>
    <w:rsid w:val="00377D6C"/>
    <w:rsid w:val="0038157E"/>
    <w:rsid w:val="003A04B4"/>
    <w:rsid w:val="003A26C7"/>
    <w:rsid w:val="003D2508"/>
    <w:rsid w:val="003E448A"/>
    <w:rsid w:val="00411312"/>
    <w:rsid w:val="00414369"/>
    <w:rsid w:val="00436F3B"/>
    <w:rsid w:val="00460D43"/>
    <w:rsid w:val="004906A1"/>
    <w:rsid w:val="004B40AF"/>
    <w:rsid w:val="004D2040"/>
    <w:rsid w:val="004F5729"/>
    <w:rsid w:val="0050433E"/>
    <w:rsid w:val="005261F5"/>
    <w:rsid w:val="00560AC7"/>
    <w:rsid w:val="00572A01"/>
    <w:rsid w:val="00577B64"/>
    <w:rsid w:val="00595E98"/>
    <w:rsid w:val="005C42FE"/>
    <w:rsid w:val="005D2C71"/>
    <w:rsid w:val="005D3150"/>
    <w:rsid w:val="005E131F"/>
    <w:rsid w:val="005E1E5F"/>
    <w:rsid w:val="00651812"/>
    <w:rsid w:val="0065306C"/>
    <w:rsid w:val="00665936"/>
    <w:rsid w:val="006759EC"/>
    <w:rsid w:val="00675B97"/>
    <w:rsid w:val="00675D1F"/>
    <w:rsid w:val="0069183E"/>
    <w:rsid w:val="006C718B"/>
    <w:rsid w:val="006D582C"/>
    <w:rsid w:val="00702300"/>
    <w:rsid w:val="00726C73"/>
    <w:rsid w:val="007337BA"/>
    <w:rsid w:val="00755864"/>
    <w:rsid w:val="0078282B"/>
    <w:rsid w:val="007B60D9"/>
    <w:rsid w:val="00821F27"/>
    <w:rsid w:val="00824CBC"/>
    <w:rsid w:val="0086105C"/>
    <w:rsid w:val="00862E70"/>
    <w:rsid w:val="00865F16"/>
    <w:rsid w:val="00886846"/>
    <w:rsid w:val="008B3D03"/>
    <w:rsid w:val="008B5B22"/>
    <w:rsid w:val="008C6F86"/>
    <w:rsid w:val="008E0B4E"/>
    <w:rsid w:val="008E34DA"/>
    <w:rsid w:val="008E383A"/>
    <w:rsid w:val="008E7EE9"/>
    <w:rsid w:val="00904E65"/>
    <w:rsid w:val="009200CF"/>
    <w:rsid w:val="0099615E"/>
    <w:rsid w:val="009B7906"/>
    <w:rsid w:val="009C4B87"/>
    <w:rsid w:val="009D2032"/>
    <w:rsid w:val="009F7108"/>
    <w:rsid w:val="00A060C8"/>
    <w:rsid w:val="00A26439"/>
    <w:rsid w:val="00A70E2E"/>
    <w:rsid w:val="00AB076E"/>
    <w:rsid w:val="00AD004D"/>
    <w:rsid w:val="00AE12D7"/>
    <w:rsid w:val="00B027FF"/>
    <w:rsid w:val="00B145C7"/>
    <w:rsid w:val="00B26C0C"/>
    <w:rsid w:val="00B37738"/>
    <w:rsid w:val="00B75B34"/>
    <w:rsid w:val="00B82BCD"/>
    <w:rsid w:val="00B91A7D"/>
    <w:rsid w:val="00B94C1F"/>
    <w:rsid w:val="00BC08C0"/>
    <w:rsid w:val="00BD4A3C"/>
    <w:rsid w:val="00BD61CE"/>
    <w:rsid w:val="00C262A1"/>
    <w:rsid w:val="00C54ADA"/>
    <w:rsid w:val="00C65D01"/>
    <w:rsid w:val="00CC6DA6"/>
    <w:rsid w:val="00CD0E4F"/>
    <w:rsid w:val="00CD457E"/>
    <w:rsid w:val="00CF2503"/>
    <w:rsid w:val="00CF2ABA"/>
    <w:rsid w:val="00D00279"/>
    <w:rsid w:val="00D14AC5"/>
    <w:rsid w:val="00D32C53"/>
    <w:rsid w:val="00D33942"/>
    <w:rsid w:val="00D37FBF"/>
    <w:rsid w:val="00D50CC2"/>
    <w:rsid w:val="00D81F57"/>
    <w:rsid w:val="00D93B85"/>
    <w:rsid w:val="00DB6228"/>
    <w:rsid w:val="00DE12EA"/>
    <w:rsid w:val="00DE2F5F"/>
    <w:rsid w:val="00DE5ACF"/>
    <w:rsid w:val="00DF3810"/>
    <w:rsid w:val="00E20D1D"/>
    <w:rsid w:val="00E7653C"/>
    <w:rsid w:val="00E80783"/>
    <w:rsid w:val="00E979A4"/>
    <w:rsid w:val="00EA3BBC"/>
    <w:rsid w:val="00EB2BCC"/>
    <w:rsid w:val="00EC19AD"/>
    <w:rsid w:val="00ED779B"/>
    <w:rsid w:val="00EF3066"/>
    <w:rsid w:val="00F066B4"/>
    <w:rsid w:val="00F13DF1"/>
    <w:rsid w:val="00F1420F"/>
    <w:rsid w:val="00F408AC"/>
    <w:rsid w:val="00F52935"/>
    <w:rsid w:val="00F62E6F"/>
    <w:rsid w:val="00F742CB"/>
    <w:rsid w:val="00F84A68"/>
    <w:rsid w:val="00F86398"/>
    <w:rsid w:val="00FC1957"/>
    <w:rsid w:val="00FC3686"/>
    <w:rsid w:val="00FC62B1"/>
    <w:rsid w:val="00FF0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DACFC"/>
  <w15:chartTrackingRefBased/>
  <w15:docId w15:val="{9A341077-223F-4548-9B99-81210D50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4820"/>
      </w:tabs>
      <w:outlineLvl w:val="0"/>
    </w:pPr>
    <w:rPr>
      <w:i/>
    </w:rPr>
  </w:style>
  <w:style w:type="paragraph" w:styleId="Heading2">
    <w:name w:val="heading 2"/>
    <w:basedOn w:val="Normal"/>
    <w:next w:val="Normal"/>
    <w:qFormat/>
    <w:pPr>
      <w:keepNext/>
      <w:tabs>
        <w:tab w:val="left" w:pos="48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rFonts w:ascii="Times New Roman" w:hAnsi="Times New Roman"/>
      <w:lang w:val="en-US"/>
    </w:rPr>
  </w:style>
  <w:style w:type="paragraph" w:styleId="BodyText">
    <w:name w:val="Body Text"/>
    <w:basedOn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70B"/>
    <w:rPr>
      <w:rFonts w:ascii="Segoe UI" w:hAnsi="Segoe UI" w:cs="Segoe UI"/>
      <w:sz w:val="18"/>
      <w:szCs w:val="18"/>
    </w:rPr>
  </w:style>
  <w:style w:type="character" w:customStyle="1" w:styleId="BalloonTextChar">
    <w:name w:val="Balloon Text Char"/>
    <w:link w:val="BalloonText"/>
    <w:rsid w:val="0006170B"/>
    <w:rPr>
      <w:rFonts w:ascii="Segoe UI" w:hAnsi="Segoe UI" w:cs="Segoe UI"/>
      <w:sz w:val="18"/>
      <w:szCs w:val="18"/>
      <w:lang w:eastAsia="en-US"/>
    </w:rPr>
  </w:style>
  <w:style w:type="character" w:customStyle="1" w:styleId="HeaderChar">
    <w:name w:val="Header Char"/>
    <w:link w:val="Header"/>
    <w:uiPriority w:val="99"/>
    <w:rsid w:val="0011138D"/>
    <w:rPr>
      <w:rFonts w:ascii="Arial" w:hAnsi="Arial"/>
      <w:sz w:val="24"/>
      <w:lang w:eastAsia="en-US"/>
    </w:rPr>
  </w:style>
  <w:style w:type="table" w:customStyle="1" w:styleId="TableGrid1">
    <w:name w:val="Table Grid1"/>
    <w:basedOn w:val="TableNormal"/>
    <w:next w:val="TableGrid"/>
    <w:uiPriority w:val="59"/>
    <w:rsid w:val="00DE5ACF"/>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a\Local%20Settings\Temporary%20Internet%20Files\OLK6\Edu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Education1.dot</Template>
  <TotalTime>4</TotalTime>
  <Pages>5</Pages>
  <Words>842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Whole School Audit Tool – Anti-Bullying</vt:lpstr>
    </vt:vector>
  </TitlesOfParts>
  <Company>Norfolk County Council</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Audit Tool – Anti-Bullying</dc:title>
  <dc:subject/>
  <dc:creator>browna;charlotte.mason@norfolk.gov.uk</dc:creator>
  <cp:keywords>Thematic toolkit</cp:keywords>
  <cp:lastModifiedBy>Deborah Harding</cp:lastModifiedBy>
  <cp:revision>4</cp:revision>
  <cp:lastPrinted>2018-09-19T09:08:00Z</cp:lastPrinted>
  <dcterms:created xsi:type="dcterms:W3CDTF">2023-11-14T13:22:00Z</dcterms:created>
  <dcterms:modified xsi:type="dcterms:W3CDTF">2023-11-17T20:31:00Z</dcterms:modified>
</cp:coreProperties>
</file>