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EE30" w14:textId="6B836603" w:rsidR="00B274DD" w:rsidRPr="00BC6865" w:rsidRDefault="00B274DD" w:rsidP="00BC6865">
      <w:pPr>
        <w:pStyle w:val="Heading1"/>
      </w:pPr>
      <w:r w:rsidRPr="00BC6865">
        <w:t>Schools Forum</w:t>
      </w:r>
    </w:p>
    <w:p w14:paraId="3A7B72D1" w14:textId="2E6991C7" w:rsidR="00B274DD" w:rsidRPr="0050664F" w:rsidRDefault="00B274DD" w:rsidP="00B274DD">
      <w:pPr>
        <w:jc w:val="right"/>
        <w:rPr>
          <w:rFonts w:ascii="Arial" w:hAnsi="Arial" w:cs="Arial"/>
          <w:b/>
          <w:bCs/>
          <w:szCs w:val="20"/>
        </w:rPr>
      </w:pPr>
      <w:r w:rsidRPr="008A54E2">
        <w:rPr>
          <w:rFonts w:ascii="Arial" w:hAnsi="Arial" w:cs="Arial"/>
          <w:b/>
          <w:szCs w:val="20"/>
        </w:rPr>
        <w:t>Item No.</w:t>
      </w:r>
      <w:r w:rsidRPr="0050664F">
        <w:rPr>
          <w:rFonts w:ascii="Arial" w:hAnsi="Arial" w:cs="Arial"/>
          <w:b/>
          <w:bCs/>
          <w:szCs w:val="20"/>
        </w:rPr>
        <w:t xml:space="preserve"> </w:t>
      </w:r>
      <w:r w:rsidR="008A54E2" w:rsidRPr="008A54E2">
        <w:rPr>
          <w:rFonts w:ascii="Arial" w:hAnsi="Arial" w:cs="Arial"/>
          <w:b/>
          <w:bCs/>
          <w:szCs w:val="20"/>
        </w:rPr>
        <w:t>4a</w:t>
      </w:r>
      <w:r w:rsidRPr="0050664F">
        <w:rPr>
          <w:rFonts w:ascii="Arial" w:hAnsi="Arial" w:cs="Arial"/>
          <w:b/>
          <w:bCs/>
          <w:szCs w:val="20"/>
        </w:rPr>
        <w:t xml:space="preserve"> </w:t>
      </w:r>
    </w:p>
    <w:p w14:paraId="2CF08B6D" w14:textId="77777777" w:rsidR="00B274DD" w:rsidRPr="0050664F" w:rsidRDefault="00B274DD" w:rsidP="00B274DD">
      <w:pPr>
        <w:jc w:val="right"/>
        <w:rPr>
          <w:rFonts w:ascii="Arial" w:hAnsi="Arial" w:cs="Arial"/>
          <w:b/>
          <w:bCs/>
          <w:szCs w:val="20"/>
        </w:rPr>
      </w:pPr>
    </w:p>
    <w:tbl>
      <w:tblPr>
        <w:tblStyle w:val="TableGrid"/>
        <w:tblW w:w="9356" w:type="dxa"/>
        <w:tblLook w:val="01E0" w:firstRow="1" w:lastRow="1" w:firstColumn="1" w:lastColumn="1" w:noHBand="0" w:noVBand="0"/>
      </w:tblPr>
      <w:tblGrid>
        <w:gridCol w:w="3101"/>
        <w:gridCol w:w="6255"/>
      </w:tblGrid>
      <w:tr w:rsidR="00691AEC" w:rsidRPr="004B2901" w14:paraId="054A0C73" w14:textId="77777777" w:rsidTr="00BC6865">
        <w:tc>
          <w:tcPr>
            <w:tcW w:w="3101" w:type="dxa"/>
          </w:tcPr>
          <w:p w14:paraId="2321A3B9" w14:textId="77777777" w:rsidR="00B274DD" w:rsidRPr="004B2901" w:rsidRDefault="00B274DD" w:rsidP="00B274DD">
            <w:pPr>
              <w:rPr>
                <w:rFonts w:ascii="Arial" w:hAnsi="Arial" w:cs="Arial"/>
                <w:b/>
                <w:sz w:val="28"/>
                <w:szCs w:val="28"/>
              </w:rPr>
            </w:pPr>
            <w:r w:rsidRPr="004B2901">
              <w:rPr>
                <w:rFonts w:ascii="Arial" w:hAnsi="Arial" w:cs="Arial"/>
                <w:b/>
                <w:sz w:val="28"/>
                <w:szCs w:val="28"/>
              </w:rPr>
              <w:t>Report title:</w:t>
            </w:r>
          </w:p>
        </w:tc>
        <w:tc>
          <w:tcPr>
            <w:tcW w:w="6255" w:type="dxa"/>
          </w:tcPr>
          <w:p w14:paraId="5C92C2DA" w14:textId="16B3BD66" w:rsidR="00B274DD" w:rsidRPr="004B2901" w:rsidRDefault="00B274DD" w:rsidP="00B274DD">
            <w:pPr>
              <w:rPr>
                <w:rFonts w:ascii="Arial" w:hAnsi="Arial" w:cs="Arial"/>
                <w:b/>
                <w:sz w:val="28"/>
                <w:szCs w:val="28"/>
              </w:rPr>
            </w:pPr>
            <w:r w:rsidRPr="004B2901">
              <w:rPr>
                <w:rFonts w:ascii="Arial" w:hAnsi="Arial" w:cs="Arial"/>
                <w:b/>
                <w:sz w:val="28"/>
                <w:szCs w:val="28"/>
              </w:rPr>
              <w:t xml:space="preserve">Proposed Schools Budget </w:t>
            </w:r>
            <w:r w:rsidR="00A43941">
              <w:rPr>
                <w:rFonts w:ascii="Arial" w:hAnsi="Arial" w:cs="Arial"/>
                <w:b/>
                <w:sz w:val="28"/>
                <w:szCs w:val="28"/>
              </w:rPr>
              <w:t>2023-24</w:t>
            </w:r>
          </w:p>
        </w:tc>
      </w:tr>
      <w:tr w:rsidR="00691AEC" w:rsidRPr="004B2901" w14:paraId="2EA55313" w14:textId="77777777" w:rsidTr="00BC6865">
        <w:tc>
          <w:tcPr>
            <w:tcW w:w="3101" w:type="dxa"/>
          </w:tcPr>
          <w:p w14:paraId="04CC56CC" w14:textId="77777777" w:rsidR="00B274DD" w:rsidRPr="004B2901" w:rsidRDefault="00B274DD" w:rsidP="00B274DD">
            <w:pPr>
              <w:rPr>
                <w:rFonts w:ascii="Arial" w:hAnsi="Arial" w:cs="Arial"/>
                <w:b/>
                <w:sz w:val="28"/>
                <w:szCs w:val="28"/>
              </w:rPr>
            </w:pPr>
            <w:r w:rsidRPr="004B2901">
              <w:rPr>
                <w:rFonts w:ascii="Arial" w:hAnsi="Arial" w:cs="Arial"/>
                <w:b/>
                <w:sz w:val="28"/>
                <w:szCs w:val="28"/>
              </w:rPr>
              <w:t>Date of meeting:</w:t>
            </w:r>
          </w:p>
        </w:tc>
        <w:tc>
          <w:tcPr>
            <w:tcW w:w="6255" w:type="dxa"/>
          </w:tcPr>
          <w:p w14:paraId="2E2A7A5F" w14:textId="302B9337" w:rsidR="00B274DD" w:rsidRPr="004B2901" w:rsidRDefault="00F869FA" w:rsidP="4C91AB7E">
            <w:pPr>
              <w:rPr>
                <w:rFonts w:ascii="Arial" w:hAnsi="Arial" w:cs="Arial"/>
                <w:b/>
                <w:bCs/>
                <w:sz w:val="28"/>
                <w:szCs w:val="28"/>
              </w:rPr>
            </w:pPr>
            <w:r>
              <w:rPr>
                <w:rFonts w:ascii="Arial" w:hAnsi="Arial" w:cs="Arial"/>
                <w:b/>
                <w:bCs/>
                <w:sz w:val="28"/>
                <w:szCs w:val="28"/>
              </w:rPr>
              <w:t>27</w:t>
            </w:r>
            <w:r w:rsidR="00B274DD" w:rsidRPr="004B2901">
              <w:rPr>
                <w:rFonts w:ascii="Arial" w:hAnsi="Arial" w:cs="Arial"/>
                <w:b/>
                <w:bCs/>
                <w:sz w:val="28"/>
                <w:szCs w:val="28"/>
              </w:rPr>
              <w:t xml:space="preserve"> January 202</w:t>
            </w:r>
            <w:r>
              <w:rPr>
                <w:rFonts w:ascii="Arial" w:hAnsi="Arial" w:cs="Arial"/>
                <w:b/>
                <w:bCs/>
                <w:sz w:val="28"/>
                <w:szCs w:val="28"/>
              </w:rPr>
              <w:t>3</w:t>
            </w:r>
          </w:p>
        </w:tc>
      </w:tr>
    </w:tbl>
    <w:p w14:paraId="1770BB19" w14:textId="77777777" w:rsidR="00B274DD" w:rsidRPr="004B2901" w:rsidRDefault="00B274DD" w:rsidP="00B274DD">
      <w:pPr>
        <w:rPr>
          <w:rFonts w:ascii="Arial" w:hAnsi="Arial" w:cs="Arial"/>
        </w:rPr>
      </w:pPr>
    </w:p>
    <w:p w14:paraId="5AC67497" w14:textId="77777777" w:rsidR="00B274DD" w:rsidRPr="004B2901" w:rsidRDefault="00B274DD" w:rsidP="00B274DD">
      <w:pPr>
        <w:rPr>
          <w:rFonts w:ascii="Arial" w:hAnsi="Arial" w:cs="Arial"/>
          <w:b/>
          <w:sz w:val="28"/>
          <w:szCs w:val="28"/>
        </w:rPr>
      </w:pPr>
      <w:r w:rsidRPr="004B2901">
        <w:rPr>
          <w:rFonts w:ascii="Arial" w:hAnsi="Arial" w:cs="Arial"/>
          <w:b/>
          <w:sz w:val="28"/>
          <w:szCs w:val="28"/>
        </w:rPr>
        <w:t xml:space="preserve"> Executive summary</w:t>
      </w:r>
    </w:p>
    <w:tbl>
      <w:tblPr>
        <w:tblStyle w:val="TableGrid"/>
        <w:tblW w:w="9356" w:type="dxa"/>
        <w:tblLook w:val="01E0" w:firstRow="1" w:lastRow="1" w:firstColumn="1" w:lastColumn="1" w:noHBand="0" w:noVBand="0"/>
      </w:tblPr>
      <w:tblGrid>
        <w:gridCol w:w="9356"/>
      </w:tblGrid>
      <w:tr w:rsidR="00691AEC" w:rsidRPr="004B2901" w14:paraId="102BC962" w14:textId="77777777" w:rsidTr="00BC6865">
        <w:tc>
          <w:tcPr>
            <w:tcW w:w="9356" w:type="dxa"/>
          </w:tcPr>
          <w:p w14:paraId="72346FE6" w14:textId="77777777" w:rsidR="005348AB" w:rsidRPr="004B2901" w:rsidRDefault="005348AB" w:rsidP="005348AB">
            <w:pPr>
              <w:rPr>
                <w:rFonts w:ascii="Arial" w:hAnsi="Arial" w:cs="Arial"/>
                <w:b/>
              </w:rPr>
            </w:pPr>
            <w:r w:rsidRPr="004B2901">
              <w:rPr>
                <w:rFonts w:ascii="Arial" w:hAnsi="Arial" w:cs="Arial"/>
                <w:b/>
              </w:rPr>
              <w:t>Schools Forum is asked to:</w:t>
            </w:r>
          </w:p>
          <w:p w14:paraId="60B5B2A1" w14:textId="77777777" w:rsidR="005348AB" w:rsidRPr="004B2901" w:rsidRDefault="005348AB" w:rsidP="005348AB">
            <w:pPr>
              <w:rPr>
                <w:rFonts w:ascii="Arial" w:hAnsi="Arial" w:cs="Arial"/>
                <w:b/>
              </w:rPr>
            </w:pPr>
          </w:p>
          <w:p w14:paraId="3592AFDE" w14:textId="27B4BD8A" w:rsidR="005348AB" w:rsidRPr="004A4DA8" w:rsidRDefault="005348AB" w:rsidP="005348AB">
            <w:pPr>
              <w:pStyle w:val="ListParagraph"/>
              <w:numPr>
                <w:ilvl w:val="0"/>
                <w:numId w:val="2"/>
              </w:numPr>
              <w:rPr>
                <w:rFonts w:ascii="Arial" w:hAnsi="Arial" w:cs="Arial"/>
                <w:b/>
              </w:rPr>
            </w:pPr>
            <w:r w:rsidRPr="004A4DA8">
              <w:rPr>
                <w:rFonts w:ascii="Arial" w:hAnsi="Arial" w:cs="Arial"/>
                <w:b/>
              </w:rPr>
              <w:t xml:space="preserve">Note information provided for the </w:t>
            </w:r>
            <w:r w:rsidR="00A43941" w:rsidRPr="00A11BC4">
              <w:rPr>
                <w:rFonts w:ascii="Arial" w:hAnsi="Arial" w:cs="Arial"/>
                <w:b/>
              </w:rPr>
              <w:t>2023-24</w:t>
            </w:r>
            <w:r w:rsidRPr="00A11BC4">
              <w:rPr>
                <w:rFonts w:ascii="Arial" w:hAnsi="Arial" w:cs="Arial"/>
                <w:b/>
              </w:rPr>
              <w:t xml:space="preserve"> </w:t>
            </w:r>
            <w:r w:rsidRPr="004A4DA8">
              <w:rPr>
                <w:rFonts w:ascii="Arial" w:hAnsi="Arial" w:cs="Arial"/>
                <w:b/>
              </w:rPr>
              <w:t xml:space="preserve">Dedicated Schools Block </w:t>
            </w:r>
            <w:r w:rsidR="00103704" w:rsidRPr="004A4DA8">
              <w:rPr>
                <w:rFonts w:ascii="Arial" w:hAnsi="Arial" w:cs="Arial"/>
                <w:b/>
              </w:rPr>
              <w:t>a</w:t>
            </w:r>
            <w:r w:rsidRPr="004A4DA8">
              <w:rPr>
                <w:rFonts w:ascii="Arial" w:hAnsi="Arial" w:cs="Arial"/>
                <w:b/>
              </w:rPr>
              <w:t>llocations</w:t>
            </w:r>
            <w:r w:rsidR="00103704" w:rsidRPr="004A4DA8">
              <w:rPr>
                <w:rFonts w:ascii="Arial" w:hAnsi="Arial" w:cs="Arial"/>
                <w:b/>
              </w:rPr>
              <w:t xml:space="preserve"> and other DfE grants</w:t>
            </w:r>
            <w:r w:rsidR="000D23CC" w:rsidRPr="004A4DA8">
              <w:rPr>
                <w:rFonts w:ascii="Arial" w:hAnsi="Arial" w:cs="Arial"/>
                <w:b/>
              </w:rPr>
              <w:t xml:space="preserve"> (Sections 1 and 2);</w:t>
            </w:r>
          </w:p>
          <w:p w14:paraId="257BE27D" w14:textId="77777777" w:rsidR="007D36A8" w:rsidRDefault="007D36A8" w:rsidP="007D36A8">
            <w:pPr>
              <w:rPr>
                <w:rFonts w:ascii="Arial" w:hAnsi="Arial" w:cs="Arial"/>
                <w:b/>
              </w:rPr>
            </w:pPr>
          </w:p>
          <w:p w14:paraId="5194E2AE" w14:textId="53D13D6E" w:rsidR="007D36A8" w:rsidRPr="007D36A8" w:rsidRDefault="007D36A8" w:rsidP="007D36A8">
            <w:pPr>
              <w:pStyle w:val="ListParagraph"/>
              <w:numPr>
                <w:ilvl w:val="0"/>
                <w:numId w:val="2"/>
              </w:numPr>
              <w:rPr>
                <w:rFonts w:ascii="Arial" w:hAnsi="Arial" w:cs="Arial"/>
                <w:b/>
              </w:rPr>
            </w:pPr>
            <w:r>
              <w:rPr>
                <w:rFonts w:ascii="Arial" w:hAnsi="Arial" w:cs="Arial"/>
                <w:b/>
              </w:rPr>
              <w:t>Note the funding announcements in relation to High Needs Block (Section 3);</w:t>
            </w:r>
          </w:p>
          <w:p w14:paraId="7D922ADB" w14:textId="77777777" w:rsidR="008607D0" w:rsidRPr="00A11BC4" w:rsidRDefault="008607D0" w:rsidP="008E3922">
            <w:pPr>
              <w:rPr>
                <w:rFonts w:ascii="Arial" w:hAnsi="Arial" w:cs="Arial"/>
                <w:b/>
                <w:highlight w:val="yellow"/>
              </w:rPr>
            </w:pPr>
          </w:p>
          <w:p w14:paraId="0BCDC7D5" w14:textId="0EFCE5F2" w:rsidR="00DA3D63" w:rsidRPr="004A4DA8" w:rsidRDefault="00DA3D63" w:rsidP="008607D0">
            <w:pPr>
              <w:pStyle w:val="ListParagraph"/>
              <w:numPr>
                <w:ilvl w:val="0"/>
                <w:numId w:val="2"/>
              </w:numPr>
              <w:rPr>
                <w:rFonts w:ascii="Arial" w:hAnsi="Arial" w:cs="Arial"/>
                <w:b/>
                <w:szCs w:val="20"/>
              </w:rPr>
            </w:pPr>
            <w:r w:rsidRPr="004A4DA8">
              <w:rPr>
                <w:rFonts w:ascii="Arial" w:hAnsi="Arial" w:cs="Arial"/>
                <w:b/>
                <w:szCs w:val="20"/>
              </w:rPr>
              <w:t xml:space="preserve">Note the latest updates to Norfolk’s DSG recovery plan (Section </w:t>
            </w:r>
            <w:r w:rsidR="004A4DA8" w:rsidRPr="004A4DA8">
              <w:rPr>
                <w:rFonts w:ascii="Arial" w:hAnsi="Arial" w:cs="Arial"/>
                <w:b/>
                <w:szCs w:val="20"/>
              </w:rPr>
              <w:t>4</w:t>
            </w:r>
            <w:r w:rsidRPr="004A4DA8">
              <w:rPr>
                <w:rFonts w:ascii="Arial" w:hAnsi="Arial" w:cs="Arial"/>
                <w:b/>
                <w:szCs w:val="20"/>
              </w:rPr>
              <w:t>);</w:t>
            </w:r>
          </w:p>
          <w:p w14:paraId="7077DCD1" w14:textId="77777777" w:rsidR="00DA3D63" w:rsidRPr="00A11BC4" w:rsidRDefault="00DA3D63" w:rsidP="00DA3D63">
            <w:pPr>
              <w:pStyle w:val="ListParagraph"/>
              <w:rPr>
                <w:rFonts w:ascii="Arial" w:hAnsi="Arial" w:cs="Arial"/>
                <w:b/>
                <w:bCs/>
                <w:highlight w:val="yellow"/>
              </w:rPr>
            </w:pPr>
          </w:p>
          <w:p w14:paraId="73496798" w14:textId="669A0CCC" w:rsidR="00A62E08" w:rsidRPr="00170792" w:rsidRDefault="00A62E08" w:rsidP="00A62E08">
            <w:pPr>
              <w:pStyle w:val="ListParagraph"/>
              <w:numPr>
                <w:ilvl w:val="0"/>
                <w:numId w:val="2"/>
              </w:numPr>
              <w:rPr>
                <w:rFonts w:ascii="Arial" w:hAnsi="Arial" w:cs="Arial"/>
                <w:b/>
              </w:rPr>
            </w:pPr>
            <w:r w:rsidRPr="00170792">
              <w:rPr>
                <w:rFonts w:ascii="Arial" w:hAnsi="Arial" w:cs="Arial"/>
                <w:b/>
              </w:rPr>
              <w:t xml:space="preserve">Note the funding announcements in relation to the Schools Block (Section </w:t>
            </w:r>
            <w:r w:rsidR="00170792" w:rsidRPr="00170792">
              <w:rPr>
                <w:rFonts w:ascii="Arial" w:hAnsi="Arial" w:cs="Arial"/>
                <w:b/>
                <w:bCs/>
              </w:rPr>
              <w:t>5</w:t>
            </w:r>
            <w:r w:rsidRPr="00170792">
              <w:rPr>
                <w:rFonts w:ascii="Arial" w:hAnsi="Arial" w:cs="Arial"/>
                <w:b/>
              </w:rPr>
              <w:t>)</w:t>
            </w:r>
            <w:r w:rsidR="004D176E" w:rsidRPr="00170792">
              <w:rPr>
                <w:rFonts w:ascii="Arial" w:hAnsi="Arial" w:cs="Arial"/>
                <w:b/>
              </w:rPr>
              <w:t>;</w:t>
            </w:r>
          </w:p>
          <w:p w14:paraId="6B2BC850" w14:textId="77777777" w:rsidR="00A62E08" w:rsidRPr="00A11BC4" w:rsidRDefault="00A62E08" w:rsidP="00A62E08">
            <w:pPr>
              <w:pStyle w:val="ListParagraph"/>
              <w:rPr>
                <w:rFonts w:ascii="Arial" w:hAnsi="Arial" w:cs="Arial"/>
                <w:b/>
                <w:bCs/>
                <w:highlight w:val="yellow"/>
              </w:rPr>
            </w:pPr>
          </w:p>
          <w:p w14:paraId="0C767402" w14:textId="6D7B0754" w:rsidR="001A126D" w:rsidRPr="00021D38" w:rsidRDefault="001A126D" w:rsidP="00021D38">
            <w:pPr>
              <w:pStyle w:val="ListParagraph"/>
              <w:numPr>
                <w:ilvl w:val="0"/>
                <w:numId w:val="2"/>
              </w:numPr>
              <w:ind w:right="57"/>
              <w:rPr>
                <w:rFonts w:ascii="Arial" w:hAnsi="Arial" w:cs="Arial"/>
              </w:rPr>
            </w:pPr>
            <w:r w:rsidRPr="00FC2E4E">
              <w:rPr>
                <w:rFonts w:ascii="Arial" w:hAnsi="Arial" w:cs="Arial"/>
                <w:b/>
                <w:szCs w:val="20"/>
              </w:rPr>
              <w:t xml:space="preserve">Note the Maintained Nursery Supplement </w:t>
            </w:r>
            <w:r w:rsidR="00021D38" w:rsidRPr="00021D38">
              <w:rPr>
                <w:rFonts w:ascii="Arial" w:hAnsi="Arial" w:cs="Arial"/>
                <w:b/>
                <w:szCs w:val="20"/>
              </w:rPr>
              <w:t>provided</w:t>
            </w:r>
            <w:r w:rsidRPr="00FC2E4E">
              <w:rPr>
                <w:rFonts w:ascii="Arial" w:hAnsi="Arial" w:cs="Arial"/>
                <w:b/>
                <w:szCs w:val="20"/>
              </w:rPr>
              <w:t xml:space="preserve"> by the DSG and </w:t>
            </w:r>
            <w:r w:rsidR="00021D38" w:rsidRPr="00021D38">
              <w:rPr>
                <w:rFonts w:ascii="Arial" w:hAnsi="Arial" w:cs="Arial"/>
                <w:b/>
                <w:szCs w:val="20"/>
              </w:rPr>
              <w:t>recommend</w:t>
            </w:r>
            <w:r w:rsidRPr="00FC2E4E">
              <w:rPr>
                <w:rFonts w:ascii="Arial" w:hAnsi="Arial" w:cs="Arial"/>
                <w:b/>
                <w:szCs w:val="20"/>
              </w:rPr>
              <w:t xml:space="preserve"> the proposal to continue to provide additional protection (£</w:t>
            </w:r>
            <w:r w:rsidR="00FC2E4E" w:rsidRPr="00FC2E4E">
              <w:rPr>
                <w:rFonts w:ascii="Arial" w:hAnsi="Arial" w:cs="Arial"/>
                <w:b/>
                <w:szCs w:val="20"/>
              </w:rPr>
              <w:t>29,896</w:t>
            </w:r>
            <w:r w:rsidRPr="00FC2E4E">
              <w:rPr>
                <w:rFonts w:ascii="Arial" w:hAnsi="Arial" w:cs="Arial"/>
                <w:b/>
                <w:szCs w:val="20"/>
              </w:rPr>
              <w:t xml:space="preserve"> for </w:t>
            </w:r>
            <w:r w:rsidR="00A43941" w:rsidRPr="00A11BC4">
              <w:rPr>
                <w:rFonts w:ascii="Arial" w:hAnsi="Arial" w:cs="Arial"/>
                <w:b/>
                <w:szCs w:val="20"/>
              </w:rPr>
              <w:t>2023-24</w:t>
            </w:r>
            <w:r w:rsidRPr="00FC2E4E">
              <w:rPr>
                <w:rFonts w:ascii="Arial" w:hAnsi="Arial" w:cs="Arial"/>
                <w:b/>
                <w:szCs w:val="20"/>
              </w:rPr>
              <w:t xml:space="preserve">) from the EY Block (Section </w:t>
            </w:r>
            <w:r w:rsidR="00FC2E4E" w:rsidRPr="00FC2E4E">
              <w:rPr>
                <w:rFonts w:ascii="Arial" w:hAnsi="Arial" w:cs="Arial"/>
                <w:b/>
                <w:szCs w:val="20"/>
              </w:rPr>
              <w:t>6</w:t>
            </w:r>
            <w:r w:rsidRPr="00FC2E4E">
              <w:rPr>
                <w:rFonts w:ascii="Arial" w:hAnsi="Arial" w:cs="Arial"/>
                <w:b/>
                <w:szCs w:val="20"/>
              </w:rPr>
              <w:t>)</w:t>
            </w:r>
            <w:r w:rsidR="004D176E" w:rsidRPr="00FC2E4E">
              <w:rPr>
                <w:rFonts w:ascii="Arial" w:hAnsi="Arial" w:cs="Arial"/>
                <w:b/>
                <w:szCs w:val="20"/>
              </w:rPr>
              <w:t>;</w:t>
            </w:r>
          </w:p>
          <w:p w14:paraId="39076407" w14:textId="77777777" w:rsidR="00742707" w:rsidRPr="00FC2E4E" w:rsidRDefault="00742707" w:rsidP="00742707">
            <w:pPr>
              <w:pStyle w:val="ListParagraph"/>
              <w:ind w:left="790"/>
              <w:rPr>
                <w:rFonts w:ascii="Arial" w:hAnsi="Arial" w:cs="Arial"/>
                <w:b/>
                <w:szCs w:val="20"/>
              </w:rPr>
            </w:pPr>
          </w:p>
          <w:p w14:paraId="05115EC0" w14:textId="0E1A60A1" w:rsidR="00742707" w:rsidRPr="00FC2E4E" w:rsidRDefault="00742707" w:rsidP="00742707">
            <w:pPr>
              <w:pStyle w:val="ListParagraph"/>
              <w:numPr>
                <w:ilvl w:val="0"/>
                <w:numId w:val="2"/>
              </w:numPr>
              <w:rPr>
                <w:rFonts w:ascii="Arial" w:hAnsi="Arial" w:cs="Arial"/>
                <w:b/>
                <w:szCs w:val="20"/>
              </w:rPr>
            </w:pPr>
            <w:r w:rsidRPr="00FC2E4E">
              <w:rPr>
                <w:rFonts w:ascii="Arial" w:hAnsi="Arial" w:cs="Arial"/>
                <w:b/>
                <w:szCs w:val="20"/>
              </w:rPr>
              <w:t xml:space="preserve">Vote on retention of 5% of 3- and 4-year-old allocations for EY central services (Section </w:t>
            </w:r>
            <w:r w:rsidR="00FC2E4E" w:rsidRPr="00FC2E4E">
              <w:rPr>
                <w:rFonts w:ascii="Arial" w:hAnsi="Arial" w:cs="Arial"/>
                <w:b/>
                <w:szCs w:val="20"/>
              </w:rPr>
              <w:t>6</w:t>
            </w:r>
            <w:r w:rsidRPr="00FC2E4E">
              <w:rPr>
                <w:rFonts w:ascii="Arial" w:hAnsi="Arial" w:cs="Arial"/>
                <w:b/>
                <w:szCs w:val="20"/>
              </w:rPr>
              <w:t>)</w:t>
            </w:r>
            <w:r w:rsidR="004D176E" w:rsidRPr="00FC2E4E">
              <w:rPr>
                <w:rFonts w:ascii="Arial" w:hAnsi="Arial" w:cs="Arial"/>
                <w:b/>
                <w:szCs w:val="20"/>
              </w:rPr>
              <w:t>;</w:t>
            </w:r>
          </w:p>
          <w:p w14:paraId="39276CB8" w14:textId="77777777" w:rsidR="001A126D" w:rsidRPr="00A11BC4" w:rsidRDefault="001A126D" w:rsidP="000F7B64">
            <w:pPr>
              <w:rPr>
                <w:rFonts w:ascii="Arial" w:hAnsi="Arial" w:cs="Arial"/>
                <w:b/>
                <w:bCs/>
                <w:highlight w:val="yellow"/>
              </w:rPr>
            </w:pPr>
          </w:p>
          <w:p w14:paraId="3A40522C" w14:textId="4F9C408D" w:rsidR="005348AB" w:rsidRDefault="004D176E" w:rsidP="00F212E2">
            <w:pPr>
              <w:pStyle w:val="ListParagraph"/>
              <w:numPr>
                <w:ilvl w:val="0"/>
                <w:numId w:val="2"/>
              </w:numPr>
              <w:rPr>
                <w:rFonts w:ascii="Arial" w:hAnsi="Arial" w:cs="Arial"/>
                <w:b/>
                <w:szCs w:val="20"/>
              </w:rPr>
            </w:pPr>
            <w:r w:rsidRPr="00BB5A89">
              <w:rPr>
                <w:rFonts w:ascii="Arial" w:hAnsi="Arial" w:cs="Arial"/>
                <w:b/>
              </w:rPr>
              <w:t xml:space="preserve">Note the funding announcements in relation to the Central </w:t>
            </w:r>
            <w:r w:rsidRPr="00BB5A89">
              <w:rPr>
                <w:rFonts w:ascii="Arial" w:hAnsi="Arial" w:cs="Arial"/>
                <w:b/>
                <w:bCs/>
              </w:rPr>
              <w:t>School</w:t>
            </w:r>
            <w:r w:rsidR="00D71D08">
              <w:rPr>
                <w:rFonts w:ascii="Arial" w:hAnsi="Arial" w:cs="Arial"/>
                <w:b/>
                <w:bCs/>
              </w:rPr>
              <w:t xml:space="preserve"> </w:t>
            </w:r>
            <w:r>
              <w:rPr>
                <w:rFonts w:ascii="Arial" w:hAnsi="Arial" w:cs="Arial"/>
                <w:b/>
              </w:rPr>
              <w:t>Services</w:t>
            </w:r>
            <w:r w:rsidRPr="00BB5A89">
              <w:rPr>
                <w:rFonts w:ascii="Arial" w:hAnsi="Arial" w:cs="Arial"/>
                <w:b/>
              </w:rPr>
              <w:t xml:space="preserve"> Block </w:t>
            </w:r>
            <w:r w:rsidR="000D23CC" w:rsidRPr="00BB5A89">
              <w:rPr>
                <w:rFonts w:ascii="Arial" w:hAnsi="Arial" w:cs="Arial"/>
                <w:b/>
                <w:szCs w:val="20"/>
              </w:rPr>
              <w:t xml:space="preserve">(Section </w:t>
            </w:r>
            <w:r w:rsidR="00BB5A89" w:rsidRPr="00BB5A89">
              <w:rPr>
                <w:rFonts w:ascii="Arial" w:hAnsi="Arial" w:cs="Arial"/>
                <w:b/>
                <w:szCs w:val="20"/>
              </w:rPr>
              <w:t>7</w:t>
            </w:r>
            <w:r w:rsidR="000D23CC" w:rsidRPr="00BB5A89">
              <w:rPr>
                <w:rFonts w:ascii="Arial" w:hAnsi="Arial" w:cs="Arial"/>
                <w:b/>
                <w:szCs w:val="20"/>
              </w:rPr>
              <w:t>).</w:t>
            </w:r>
          </w:p>
          <w:p w14:paraId="7ADB802E" w14:textId="77777777" w:rsidR="00D71D08" w:rsidRPr="00D71D08" w:rsidRDefault="00D71D08" w:rsidP="00D71D08">
            <w:pPr>
              <w:pStyle w:val="ListParagraph"/>
              <w:rPr>
                <w:rFonts w:ascii="Arial" w:hAnsi="Arial" w:cs="Arial"/>
                <w:b/>
                <w:szCs w:val="20"/>
              </w:rPr>
            </w:pPr>
          </w:p>
          <w:p w14:paraId="3483B418" w14:textId="06141919" w:rsidR="006659EA" w:rsidRPr="00D71D08" w:rsidRDefault="006659EA" w:rsidP="006659EA">
            <w:pPr>
              <w:pStyle w:val="ListParagraph"/>
              <w:numPr>
                <w:ilvl w:val="0"/>
                <w:numId w:val="2"/>
              </w:numPr>
              <w:rPr>
                <w:rFonts w:ascii="Arial" w:hAnsi="Arial" w:cs="Arial"/>
                <w:b/>
              </w:rPr>
            </w:pPr>
            <w:r w:rsidRPr="006659EA">
              <w:rPr>
                <w:rFonts w:ascii="Arial" w:hAnsi="Arial" w:cs="Arial"/>
                <w:b/>
                <w:bCs/>
              </w:rPr>
              <w:t>Approve the following items from Central School Services Block</w:t>
            </w:r>
            <w:r w:rsidR="00B6017B">
              <w:rPr>
                <w:rFonts w:ascii="Arial" w:hAnsi="Arial" w:cs="Arial"/>
                <w:b/>
                <w:bCs/>
              </w:rPr>
              <w:t>:</w:t>
            </w:r>
          </w:p>
          <w:p w14:paraId="3BA0DCED" w14:textId="77777777" w:rsidR="006659EA" w:rsidRPr="00D71D08" w:rsidRDefault="006659EA" w:rsidP="006659EA">
            <w:pPr>
              <w:pStyle w:val="ListParagraph"/>
              <w:spacing w:after="160" w:line="259" w:lineRule="auto"/>
              <w:ind w:left="360"/>
              <w:rPr>
                <w:rFonts w:ascii="Arial" w:hAnsi="Arial" w:cs="Arial"/>
                <w:b/>
                <w:highlight w:val="yellow"/>
              </w:rPr>
            </w:pPr>
          </w:p>
          <w:p w14:paraId="254852A1" w14:textId="77777777" w:rsidR="006659EA" w:rsidRPr="00541130" w:rsidRDefault="006659EA" w:rsidP="00021D38">
            <w:pPr>
              <w:pStyle w:val="ListParagraph"/>
              <w:numPr>
                <w:ilvl w:val="0"/>
                <w:numId w:val="2"/>
              </w:numPr>
              <w:rPr>
                <w:rFonts w:ascii="Arial" w:hAnsi="Arial" w:cs="Arial"/>
                <w:b/>
                <w:bCs/>
              </w:rPr>
            </w:pPr>
            <w:r w:rsidRPr="00541130">
              <w:rPr>
                <w:rFonts w:ascii="Arial" w:hAnsi="Arial" w:cs="Arial"/>
                <w:b/>
                <w:bCs/>
              </w:rPr>
              <w:t>Fees to independent schools for pupils with SEN (£100,00)</w:t>
            </w:r>
          </w:p>
          <w:p w14:paraId="6296BEDB" w14:textId="77777777" w:rsidR="006659EA" w:rsidRPr="00541130" w:rsidRDefault="006659EA" w:rsidP="006659EA">
            <w:pPr>
              <w:ind w:left="1418"/>
              <w:rPr>
                <w:rFonts w:ascii="Arial" w:hAnsi="Arial" w:cs="Arial"/>
                <w:b/>
                <w:bCs/>
              </w:rPr>
            </w:pPr>
          </w:p>
          <w:p w14:paraId="4C24C5A1" w14:textId="77777777" w:rsidR="006659EA" w:rsidRPr="00541130" w:rsidRDefault="006659EA" w:rsidP="00021D38">
            <w:pPr>
              <w:pStyle w:val="ListParagraph"/>
              <w:numPr>
                <w:ilvl w:val="0"/>
                <w:numId w:val="2"/>
              </w:numPr>
              <w:rPr>
                <w:rFonts w:ascii="Arial" w:hAnsi="Arial" w:cs="Arial"/>
                <w:b/>
                <w:bCs/>
              </w:rPr>
            </w:pPr>
            <w:r w:rsidRPr="00541130">
              <w:rPr>
                <w:rFonts w:ascii="Arial" w:hAnsi="Arial" w:cs="Arial"/>
                <w:b/>
                <w:bCs/>
              </w:rPr>
              <w:t>Contribution to Learning and Inclusion (£119,700)</w:t>
            </w:r>
          </w:p>
          <w:p w14:paraId="39BE84CF" w14:textId="77777777" w:rsidR="006659EA" w:rsidRPr="00541130" w:rsidRDefault="006659EA" w:rsidP="006659EA">
            <w:pPr>
              <w:pStyle w:val="ListParagraph"/>
              <w:ind w:left="1418"/>
              <w:rPr>
                <w:rFonts w:ascii="Arial" w:hAnsi="Arial" w:cs="Arial"/>
                <w:b/>
                <w:bCs/>
                <w:highlight w:val="yellow"/>
              </w:rPr>
            </w:pPr>
          </w:p>
          <w:p w14:paraId="5CF9D270" w14:textId="4A50C5A2" w:rsidR="006659EA" w:rsidRPr="00541130" w:rsidRDefault="006659EA" w:rsidP="00021D38">
            <w:pPr>
              <w:pStyle w:val="ListParagraph"/>
              <w:numPr>
                <w:ilvl w:val="0"/>
                <w:numId w:val="2"/>
              </w:numPr>
              <w:spacing w:after="160" w:line="259" w:lineRule="auto"/>
              <w:rPr>
                <w:rFonts w:ascii="Arial" w:hAnsi="Arial" w:cs="Arial"/>
                <w:b/>
                <w:bCs/>
              </w:rPr>
            </w:pPr>
            <w:r w:rsidRPr="00541130">
              <w:rPr>
                <w:rFonts w:ascii="Arial" w:hAnsi="Arial" w:cs="Arial"/>
                <w:b/>
                <w:bCs/>
              </w:rPr>
              <w:t>Funding for the LA to meet responsibilities held for all schools including Teachers’ Pension employer contributions for centrally employed teachers (£2,</w:t>
            </w:r>
            <w:r w:rsidR="007B290D">
              <w:rPr>
                <w:rFonts w:ascii="Arial" w:hAnsi="Arial" w:cs="Arial"/>
                <w:b/>
                <w:bCs/>
              </w:rPr>
              <w:t>499,893</w:t>
            </w:r>
            <w:r w:rsidRPr="00541130">
              <w:rPr>
                <w:rFonts w:ascii="Arial" w:hAnsi="Arial" w:cs="Arial"/>
                <w:b/>
                <w:bCs/>
              </w:rPr>
              <w:t>)</w:t>
            </w:r>
          </w:p>
          <w:p w14:paraId="3B1DA1F8" w14:textId="181AD476" w:rsidR="00D71D08" w:rsidRPr="006659EA" w:rsidRDefault="00D71D08" w:rsidP="006659EA">
            <w:pPr>
              <w:rPr>
                <w:rFonts w:ascii="Arial" w:hAnsi="Arial" w:cs="Arial"/>
                <w:b/>
                <w:szCs w:val="20"/>
              </w:rPr>
            </w:pPr>
          </w:p>
          <w:p w14:paraId="0A739BC7" w14:textId="0CEA0C5A" w:rsidR="009130A6" w:rsidRPr="004D176E" w:rsidRDefault="009130A6" w:rsidP="004D176E">
            <w:pPr>
              <w:rPr>
                <w:rFonts w:ascii="Arial" w:hAnsi="Arial" w:cs="Arial"/>
                <w:b/>
                <w:szCs w:val="20"/>
              </w:rPr>
            </w:pPr>
          </w:p>
        </w:tc>
      </w:tr>
    </w:tbl>
    <w:p w14:paraId="7AD96EE4" w14:textId="77777777" w:rsidR="00901244" w:rsidRDefault="00901244" w:rsidP="00901244">
      <w:pPr>
        <w:ind w:left="5040" w:firstLine="720"/>
        <w:rPr>
          <w:rFonts w:ascii="Arial" w:hAnsi="Arial" w:cs="Arial"/>
        </w:rPr>
      </w:pPr>
    </w:p>
    <w:p w14:paraId="1B3EA3A0" w14:textId="77777777" w:rsidR="00192B72" w:rsidRPr="004B2901" w:rsidRDefault="00192B72" w:rsidP="00901244">
      <w:pPr>
        <w:ind w:left="5040" w:firstLine="720"/>
        <w:rPr>
          <w:rFonts w:ascii="Arial" w:hAnsi="Arial" w:cs="Arial"/>
        </w:rPr>
      </w:pPr>
    </w:p>
    <w:p w14:paraId="02802D2C" w14:textId="2FD8CC91" w:rsidR="00901244" w:rsidRPr="00BC6865" w:rsidRDefault="0077303F" w:rsidP="00BC6865">
      <w:pPr>
        <w:pStyle w:val="Heading2"/>
      </w:pPr>
      <w:r w:rsidRPr="00BC6865">
        <w:t>Background</w:t>
      </w:r>
    </w:p>
    <w:p w14:paraId="0A51ACB5" w14:textId="77777777" w:rsidR="0083269E" w:rsidRPr="004B2901" w:rsidRDefault="0083269E" w:rsidP="00901244">
      <w:pPr>
        <w:rPr>
          <w:rFonts w:ascii="Arial" w:hAnsi="Arial" w:cs="Arial"/>
        </w:rPr>
      </w:pPr>
    </w:p>
    <w:p w14:paraId="4F185D2B" w14:textId="0C3766BE" w:rsidR="00881FE0" w:rsidRPr="00683A6F" w:rsidRDefault="00881FE0" w:rsidP="00881FE0">
      <w:pPr>
        <w:rPr>
          <w:rFonts w:ascii="Arial" w:hAnsi="Arial" w:cs="Arial"/>
        </w:rPr>
      </w:pPr>
      <w:r w:rsidRPr="002B5951">
        <w:rPr>
          <w:rFonts w:ascii="Arial" w:hAnsi="Arial" w:cs="Arial"/>
        </w:rPr>
        <w:lastRenderedPageBreak/>
        <w:t>This report follows on from the</w:t>
      </w:r>
      <w:r w:rsidR="003A12F4" w:rsidRPr="002B5951">
        <w:rPr>
          <w:rStyle w:val="CommentReference"/>
        </w:rPr>
        <w:t xml:space="preserve"> </w:t>
      </w:r>
      <w:r w:rsidR="003A12F4" w:rsidRPr="002B5951">
        <w:rPr>
          <w:rFonts w:ascii="Arial" w:hAnsi="Arial" w:cs="Arial"/>
        </w:rPr>
        <w:t xml:space="preserve">Dedicated Schools Grant reports </w:t>
      </w:r>
      <w:r w:rsidRPr="002B5951">
        <w:rPr>
          <w:rFonts w:ascii="Arial" w:hAnsi="Arial" w:cs="Arial"/>
        </w:rPr>
        <w:t>to Norfolk Schools Forum in November 202</w:t>
      </w:r>
      <w:r w:rsidR="00B4288C" w:rsidRPr="002B5951">
        <w:rPr>
          <w:rFonts w:ascii="Arial" w:hAnsi="Arial" w:cs="Arial"/>
        </w:rPr>
        <w:t>2</w:t>
      </w:r>
      <w:r w:rsidR="003A12F4" w:rsidRPr="002B5951">
        <w:rPr>
          <w:rFonts w:ascii="Arial" w:hAnsi="Arial" w:cs="Arial"/>
        </w:rPr>
        <w:t xml:space="preserve"> (items </w:t>
      </w:r>
      <w:r w:rsidR="00B4288C" w:rsidRPr="002B5951">
        <w:rPr>
          <w:rFonts w:ascii="Arial" w:hAnsi="Arial" w:cs="Arial"/>
        </w:rPr>
        <w:t>3</w:t>
      </w:r>
      <w:r w:rsidR="003A12F4" w:rsidRPr="002B5951">
        <w:rPr>
          <w:rFonts w:ascii="Arial" w:hAnsi="Arial" w:cs="Arial"/>
        </w:rPr>
        <w:t xml:space="preserve">a to </w:t>
      </w:r>
      <w:r w:rsidR="00B4288C" w:rsidRPr="002B5951">
        <w:rPr>
          <w:rFonts w:ascii="Arial" w:hAnsi="Arial" w:cs="Arial"/>
        </w:rPr>
        <w:t>e</w:t>
      </w:r>
      <w:r w:rsidR="003A12F4" w:rsidRPr="002B5951">
        <w:rPr>
          <w:rFonts w:ascii="Arial" w:hAnsi="Arial" w:cs="Arial"/>
        </w:rPr>
        <w:t>)</w:t>
      </w:r>
      <w:r w:rsidR="00286C3F" w:rsidRPr="002B5951">
        <w:rPr>
          <w:rFonts w:ascii="Arial" w:hAnsi="Arial" w:cs="Arial"/>
        </w:rPr>
        <w:t xml:space="preserve">, </w:t>
      </w:r>
      <w:r w:rsidR="00D637F6" w:rsidRPr="002B5951">
        <w:rPr>
          <w:rFonts w:ascii="Arial" w:hAnsi="Arial" w:cs="Arial"/>
        </w:rPr>
        <w:t xml:space="preserve">available </w:t>
      </w:r>
      <w:hyperlink r:id="rId11" w:history="1">
        <w:r w:rsidR="00D637F6" w:rsidRPr="002B5951">
          <w:rPr>
            <w:rStyle w:val="Hyperlink"/>
            <w:rFonts w:ascii="Arial" w:hAnsi="Arial" w:cs="Arial"/>
          </w:rPr>
          <w:t>here</w:t>
        </w:r>
      </w:hyperlink>
      <w:r w:rsidR="00D637F6" w:rsidRPr="002B5951">
        <w:rPr>
          <w:rFonts w:ascii="Arial" w:hAnsi="Arial" w:cs="Arial"/>
        </w:rPr>
        <w:t xml:space="preserve">, </w:t>
      </w:r>
      <w:r w:rsidR="00A6785C" w:rsidRPr="002B5951">
        <w:rPr>
          <w:rFonts w:ascii="Arial" w:hAnsi="Arial" w:cs="Arial"/>
        </w:rPr>
        <w:t>considering</w:t>
      </w:r>
      <w:r w:rsidR="00286C3F" w:rsidRPr="002B5951">
        <w:rPr>
          <w:rFonts w:ascii="Arial" w:hAnsi="Arial" w:cs="Arial"/>
        </w:rPr>
        <w:t xml:space="preserve"> the </w:t>
      </w:r>
      <w:r w:rsidR="000A2D0A" w:rsidRPr="002B5951">
        <w:rPr>
          <w:rFonts w:ascii="Arial" w:hAnsi="Arial" w:cs="Arial"/>
        </w:rPr>
        <w:t xml:space="preserve">updated information now available and </w:t>
      </w:r>
      <w:r w:rsidR="00066625" w:rsidRPr="002B5951">
        <w:rPr>
          <w:rFonts w:ascii="Arial" w:hAnsi="Arial" w:cs="Arial"/>
        </w:rPr>
        <w:t xml:space="preserve">identifying the </w:t>
      </w:r>
      <w:r w:rsidR="00020812" w:rsidRPr="002B5951">
        <w:rPr>
          <w:rFonts w:ascii="Arial" w:hAnsi="Arial" w:cs="Arial"/>
        </w:rPr>
        <w:t>further decisions or recommendations</w:t>
      </w:r>
      <w:r w:rsidR="00C07555" w:rsidRPr="002B5951">
        <w:rPr>
          <w:rFonts w:ascii="Arial" w:hAnsi="Arial" w:cs="Arial"/>
        </w:rPr>
        <w:t xml:space="preserve"> required.</w:t>
      </w:r>
    </w:p>
    <w:p w14:paraId="35C5F08D" w14:textId="77777777" w:rsidR="00881FE0" w:rsidRDefault="00881FE0" w:rsidP="00881FE0">
      <w:pPr>
        <w:rPr>
          <w:rFonts w:ascii="Arial" w:hAnsi="Arial" w:cs="Arial"/>
          <w:b/>
          <w:bCs/>
        </w:rPr>
      </w:pPr>
    </w:p>
    <w:p w14:paraId="7F6D9D19" w14:textId="09A8D80D" w:rsidR="003756A2" w:rsidRPr="002B5951" w:rsidRDefault="003756A2" w:rsidP="002B5951">
      <w:pPr>
        <w:pStyle w:val="ListParagraph"/>
        <w:numPr>
          <w:ilvl w:val="1"/>
          <w:numId w:val="32"/>
        </w:numPr>
        <w:rPr>
          <w:rFonts w:ascii="Arial" w:hAnsi="Arial" w:cs="Arial"/>
          <w:b/>
          <w:bCs/>
        </w:rPr>
      </w:pPr>
      <w:r w:rsidRPr="002B5951">
        <w:rPr>
          <w:rFonts w:ascii="Arial" w:hAnsi="Arial" w:cs="Arial"/>
          <w:b/>
          <w:bCs/>
        </w:rPr>
        <w:t>Key Decisions and Recommendations Previously Made</w:t>
      </w:r>
    </w:p>
    <w:p w14:paraId="4B43F8B3" w14:textId="77777777" w:rsidR="002B5951" w:rsidRPr="002B5951" w:rsidRDefault="002B5951" w:rsidP="002B5951">
      <w:pPr>
        <w:pStyle w:val="ListParagraph"/>
        <w:rPr>
          <w:rFonts w:ascii="Arial" w:hAnsi="Arial" w:cs="Arial"/>
          <w:b/>
          <w:bCs/>
        </w:rPr>
      </w:pPr>
    </w:p>
    <w:p w14:paraId="2B30D254" w14:textId="23E48931" w:rsidR="003756A2" w:rsidRPr="003D3F70" w:rsidRDefault="00C82234" w:rsidP="003756A2">
      <w:pPr>
        <w:spacing w:after="160" w:line="259" w:lineRule="auto"/>
        <w:rPr>
          <w:rFonts w:ascii="Arial" w:hAnsi="Arial" w:cs="Arial"/>
        </w:rPr>
      </w:pPr>
      <w:r w:rsidRPr="003D3F70">
        <w:rPr>
          <w:rFonts w:ascii="Arial" w:hAnsi="Arial" w:cs="Arial"/>
        </w:rPr>
        <w:t xml:space="preserve">At the </w:t>
      </w:r>
      <w:r w:rsidR="00525F3B" w:rsidRPr="003D3F70">
        <w:rPr>
          <w:rFonts w:ascii="Arial" w:hAnsi="Arial" w:cs="Arial"/>
        </w:rPr>
        <w:t>November 202</w:t>
      </w:r>
      <w:r w:rsidR="003D3F70" w:rsidRPr="003D3F70">
        <w:rPr>
          <w:rFonts w:ascii="Arial" w:hAnsi="Arial" w:cs="Arial"/>
        </w:rPr>
        <w:t>2</w:t>
      </w:r>
      <w:r w:rsidR="00525F3B" w:rsidRPr="003D3F70">
        <w:rPr>
          <w:rFonts w:ascii="Arial" w:hAnsi="Arial" w:cs="Arial"/>
        </w:rPr>
        <w:t xml:space="preserve"> meeting of Norfolk’s Schools Forum, </w:t>
      </w:r>
      <w:r w:rsidR="00F212E2" w:rsidRPr="003D3F70">
        <w:rPr>
          <w:rFonts w:ascii="Arial" w:hAnsi="Arial" w:cs="Arial"/>
        </w:rPr>
        <w:t>the following key decisions, recommendations and views were shared:</w:t>
      </w:r>
    </w:p>
    <w:p w14:paraId="0B0198F1" w14:textId="5A379ABF" w:rsidR="003756A2" w:rsidRPr="003D3F70" w:rsidRDefault="00CC77B0" w:rsidP="00F212E2">
      <w:pPr>
        <w:pStyle w:val="ListParagraph"/>
        <w:numPr>
          <w:ilvl w:val="0"/>
          <w:numId w:val="30"/>
        </w:numPr>
        <w:spacing w:after="160" w:line="259" w:lineRule="auto"/>
        <w:rPr>
          <w:rFonts w:ascii="Arial" w:hAnsi="Arial" w:cs="Arial"/>
        </w:rPr>
      </w:pPr>
      <w:r w:rsidRPr="003D3F70">
        <w:rPr>
          <w:rFonts w:ascii="Arial" w:hAnsi="Arial" w:cs="Arial"/>
        </w:rPr>
        <w:t>De-delegation / Central School Services Block decisions by the appropriate sector representatives</w:t>
      </w:r>
      <w:r w:rsidR="003D3F70">
        <w:rPr>
          <w:rFonts w:ascii="Arial" w:hAnsi="Arial" w:cs="Arial"/>
        </w:rPr>
        <w:t xml:space="preserve"> (some </w:t>
      </w:r>
      <w:r w:rsidR="001D1001">
        <w:rPr>
          <w:rFonts w:ascii="Arial" w:hAnsi="Arial" w:cs="Arial"/>
        </w:rPr>
        <w:t xml:space="preserve">central </w:t>
      </w:r>
      <w:r w:rsidR="003D3F70">
        <w:rPr>
          <w:rFonts w:ascii="Arial" w:hAnsi="Arial" w:cs="Arial"/>
        </w:rPr>
        <w:t xml:space="preserve">items to be </w:t>
      </w:r>
      <w:r w:rsidR="00CC49A0">
        <w:rPr>
          <w:rFonts w:ascii="Arial" w:hAnsi="Arial" w:cs="Arial"/>
        </w:rPr>
        <w:t>discussed again</w:t>
      </w:r>
      <w:r w:rsidR="003D3F70">
        <w:rPr>
          <w:rFonts w:ascii="Arial" w:hAnsi="Arial" w:cs="Arial"/>
        </w:rPr>
        <w:t xml:space="preserve"> in January).</w:t>
      </w:r>
    </w:p>
    <w:p w14:paraId="749BE7EA" w14:textId="45EB04A6" w:rsidR="00035A96" w:rsidRPr="0064113B" w:rsidRDefault="00051F8F" w:rsidP="00F212E2">
      <w:pPr>
        <w:pStyle w:val="ListParagraph"/>
        <w:numPr>
          <w:ilvl w:val="0"/>
          <w:numId w:val="30"/>
        </w:numPr>
        <w:spacing w:after="160" w:line="259" w:lineRule="auto"/>
        <w:rPr>
          <w:rFonts w:ascii="Arial" w:hAnsi="Arial" w:cs="Arial"/>
        </w:rPr>
      </w:pPr>
      <w:r w:rsidRPr="0064113B">
        <w:rPr>
          <w:rFonts w:ascii="Arial" w:hAnsi="Arial" w:cs="Arial"/>
        </w:rPr>
        <w:t xml:space="preserve">Schools Forum agreed to a continuation of the movement of 0.5% Schools Block to High Needs Block for </w:t>
      </w:r>
      <w:r w:rsidR="00A43941">
        <w:rPr>
          <w:rFonts w:ascii="Arial" w:hAnsi="Arial" w:cs="Arial"/>
        </w:rPr>
        <w:t>2023-24</w:t>
      </w:r>
    </w:p>
    <w:p w14:paraId="3B3B65EE" w14:textId="728CEDC0" w:rsidR="001862E9" w:rsidRPr="00111441" w:rsidRDefault="003B22EA" w:rsidP="001862E9">
      <w:pPr>
        <w:pStyle w:val="ListParagraph"/>
        <w:numPr>
          <w:ilvl w:val="0"/>
          <w:numId w:val="30"/>
        </w:numPr>
        <w:spacing w:after="160" w:line="259" w:lineRule="auto"/>
        <w:rPr>
          <w:rFonts w:ascii="Arial" w:hAnsi="Arial" w:cs="Arial"/>
        </w:rPr>
      </w:pPr>
      <w:r w:rsidRPr="00111441">
        <w:rPr>
          <w:rFonts w:ascii="Arial" w:hAnsi="Arial" w:cs="Arial"/>
        </w:rPr>
        <w:t xml:space="preserve">Schools Forum </w:t>
      </w:r>
      <w:r w:rsidR="00482D3E" w:rsidRPr="00111441">
        <w:rPr>
          <w:rFonts w:ascii="Arial" w:hAnsi="Arial" w:cs="Arial"/>
        </w:rPr>
        <w:t xml:space="preserve">Members were given the opportunity to individually </w:t>
      </w:r>
      <w:r w:rsidRPr="00111441">
        <w:rPr>
          <w:rFonts w:ascii="Arial" w:hAnsi="Arial" w:cs="Arial"/>
        </w:rPr>
        <w:t xml:space="preserve">provide views on </w:t>
      </w:r>
      <w:r w:rsidR="00482D3E" w:rsidRPr="00111441">
        <w:rPr>
          <w:rFonts w:ascii="Arial" w:hAnsi="Arial" w:cs="Arial"/>
        </w:rPr>
        <w:t xml:space="preserve">a request for an additional 1% transfer from the Schools Block to the High Needs Block for </w:t>
      </w:r>
      <w:r w:rsidR="00A43941">
        <w:rPr>
          <w:rFonts w:ascii="Arial" w:hAnsi="Arial" w:cs="Arial"/>
        </w:rPr>
        <w:t>2023-24</w:t>
      </w:r>
      <w:r w:rsidR="001862E9" w:rsidRPr="00111441">
        <w:rPr>
          <w:rFonts w:ascii="Arial" w:hAnsi="Arial" w:cs="Arial"/>
        </w:rPr>
        <w:t xml:space="preserve"> </w:t>
      </w:r>
    </w:p>
    <w:p w14:paraId="604B3E56" w14:textId="7BE780A0" w:rsidR="001862E9" w:rsidRPr="00111441" w:rsidRDefault="00DC58B4" w:rsidP="001862E9">
      <w:pPr>
        <w:pStyle w:val="ListParagraph"/>
        <w:numPr>
          <w:ilvl w:val="0"/>
          <w:numId w:val="30"/>
        </w:numPr>
        <w:spacing w:after="160" w:line="259" w:lineRule="auto"/>
        <w:rPr>
          <w:rFonts w:ascii="Arial" w:hAnsi="Arial" w:cs="Arial"/>
        </w:rPr>
      </w:pPr>
      <w:r w:rsidRPr="00111441">
        <w:rPr>
          <w:rFonts w:ascii="Arial" w:hAnsi="Arial" w:cs="Arial"/>
        </w:rPr>
        <w:t xml:space="preserve">Early Years consultative group set up to consider LA’s autumn EY consultation and to provide a view </w:t>
      </w:r>
      <w:r w:rsidR="00111441" w:rsidRPr="00111441">
        <w:rPr>
          <w:rFonts w:ascii="Arial" w:hAnsi="Arial" w:cs="Arial"/>
        </w:rPr>
        <w:t xml:space="preserve">to Schools Forum </w:t>
      </w:r>
      <w:r w:rsidRPr="00111441">
        <w:rPr>
          <w:rFonts w:ascii="Arial" w:hAnsi="Arial" w:cs="Arial"/>
        </w:rPr>
        <w:t xml:space="preserve">on EY funding formula for </w:t>
      </w:r>
      <w:r w:rsidR="00A43941">
        <w:rPr>
          <w:rFonts w:ascii="Arial" w:hAnsi="Arial" w:cs="Arial"/>
        </w:rPr>
        <w:t>2023-24</w:t>
      </w:r>
      <w:r w:rsidR="00111441" w:rsidRPr="00111441">
        <w:rPr>
          <w:rFonts w:ascii="Arial" w:hAnsi="Arial" w:cs="Arial"/>
        </w:rPr>
        <w:t xml:space="preserve"> in January.</w:t>
      </w:r>
    </w:p>
    <w:p w14:paraId="51B313A8" w14:textId="41A34E78" w:rsidR="00051F8F" w:rsidRPr="0064113B" w:rsidRDefault="00051F8F" w:rsidP="00111441">
      <w:pPr>
        <w:pStyle w:val="ListParagraph"/>
        <w:spacing w:after="160" w:line="259" w:lineRule="auto"/>
        <w:rPr>
          <w:rFonts w:ascii="Arial" w:hAnsi="Arial" w:cs="Arial"/>
        </w:rPr>
      </w:pPr>
    </w:p>
    <w:p w14:paraId="6A153A06" w14:textId="637937F1" w:rsidR="003756A2" w:rsidRPr="004538CF" w:rsidRDefault="00F212E2" w:rsidP="003756A2">
      <w:pPr>
        <w:spacing w:after="160" w:line="259" w:lineRule="auto"/>
        <w:rPr>
          <w:rFonts w:ascii="Arial" w:hAnsi="Arial" w:cs="Arial"/>
        </w:rPr>
      </w:pPr>
      <w:r w:rsidRPr="004538CF">
        <w:rPr>
          <w:rFonts w:ascii="Arial" w:hAnsi="Arial" w:cs="Arial"/>
        </w:rPr>
        <w:t xml:space="preserve">Further information is available within the minutes of the meeting, available </w:t>
      </w:r>
      <w:hyperlink r:id="rId12" w:history="1">
        <w:r w:rsidR="0005745D" w:rsidRPr="004538CF">
          <w:rPr>
            <w:rStyle w:val="Hyperlink"/>
            <w:rFonts w:ascii="Arial" w:hAnsi="Arial" w:cs="Arial"/>
          </w:rPr>
          <w:t>here</w:t>
        </w:r>
      </w:hyperlink>
      <w:r w:rsidR="0005745D" w:rsidRPr="004538CF">
        <w:rPr>
          <w:rFonts w:ascii="Arial" w:hAnsi="Arial" w:cs="Arial"/>
        </w:rPr>
        <w:t>.</w:t>
      </w:r>
    </w:p>
    <w:p w14:paraId="74BB0C37" w14:textId="74186AEE" w:rsidR="00881FE0" w:rsidRPr="004538CF" w:rsidRDefault="00881FE0" w:rsidP="00881FE0">
      <w:pPr>
        <w:rPr>
          <w:rFonts w:ascii="Arial" w:hAnsi="Arial" w:cs="Arial"/>
          <w:b/>
          <w:bCs/>
        </w:rPr>
      </w:pPr>
      <w:r w:rsidRPr="004538CF">
        <w:rPr>
          <w:rFonts w:ascii="Arial" w:hAnsi="Arial" w:cs="Arial"/>
          <w:b/>
          <w:bCs/>
        </w:rPr>
        <w:t>1.</w:t>
      </w:r>
      <w:r w:rsidR="003756A2" w:rsidRPr="004538CF">
        <w:rPr>
          <w:rFonts w:ascii="Arial" w:hAnsi="Arial" w:cs="Arial"/>
          <w:b/>
          <w:bCs/>
        </w:rPr>
        <w:t>2</w:t>
      </w:r>
      <w:r w:rsidRPr="004538CF">
        <w:rPr>
          <w:rFonts w:ascii="Arial" w:hAnsi="Arial" w:cs="Arial"/>
          <w:b/>
          <w:bCs/>
        </w:rPr>
        <w:tab/>
        <w:t>Key events or changes since November 202</w:t>
      </w:r>
      <w:r w:rsidR="004538CF" w:rsidRPr="004538CF">
        <w:rPr>
          <w:rFonts w:ascii="Arial" w:hAnsi="Arial" w:cs="Arial"/>
          <w:b/>
          <w:bCs/>
        </w:rPr>
        <w:t>2</w:t>
      </w:r>
      <w:r w:rsidRPr="004538CF">
        <w:rPr>
          <w:rFonts w:ascii="Arial" w:hAnsi="Arial" w:cs="Arial"/>
          <w:b/>
          <w:bCs/>
        </w:rPr>
        <w:t xml:space="preserve"> Forum</w:t>
      </w:r>
    </w:p>
    <w:p w14:paraId="46D092C4" w14:textId="77777777" w:rsidR="00881FE0" w:rsidRPr="00F869FA" w:rsidRDefault="00881FE0" w:rsidP="00881FE0">
      <w:pPr>
        <w:rPr>
          <w:rFonts w:ascii="Arial" w:hAnsi="Arial" w:cs="Arial"/>
          <w:highlight w:val="yellow"/>
        </w:rPr>
      </w:pPr>
    </w:p>
    <w:p w14:paraId="4A9B3B8D" w14:textId="05DC3240" w:rsidR="00881FE0" w:rsidRPr="004538CF" w:rsidRDefault="004538CF" w:rsidP="00F212E2">
      <w:pPr>
        <w:spacing w:after="160" w:line="259" w:lineRule="auto"/>
        <w:rPr>
          <w:rFonts w:ascii="Arial" w:hAnsi="Arial" w:cs="Arial"/>
        </w:rPr>
      </w:pPr>
      <w:r>
        <w:rPr>
          <w:rFonts w:ascii="Arial" w:hAnsi="Arial" w:cs="Arial"/>
        </w:rPr>
        <w:t>Key events or changes s</w:t>
      </w:r>
      <w:r w:rsidR="00881FE0" w:rsidRPr="004538CF">
        <w:rPr>
          <w:rFonts w:ascii="Arial" w:hAnsi="Arial" w:cs="Arial"/>
        </w:rPr>
        <w:t xml:space="preserve">ince the last </w:t>
      </w:r>
      <w:r w:rsidR="00305562" w:rsidRPr="004538CF">
        <w:rPr>
          <w:rFonts w:ascii="Arial" w:hAnsi="Arial" w:cs="Arial"/>
        </w:rPr>
        <w:t xml:space="preserve">Schools </w:t>
      </w:r>
      <w:r w:rsidR="00881FE0" w:rsidRPr="004538CF">
        <w:rPr>
          <w:rFonts w:ascii="Arial" w:hAnsi="Arial" w:cs="Arial"/>
        </w:rPr>
        <w:t>Forum meeting</w:t>
      </w:r>
      <w:r>
        <w:rPr>
          <w:rFonts w:ascii="Arial" w:hAnsi="Arial" w:cs="Arial"/>
        </w:rPr>
        <w:t>:</w:t>
      </w:r>
    </w:p>
    <w:p w14:paraId="40485B9A" w14:textId="11FB7A03" w:rsidR="00881FE0" w:rsidRPr="004538CF" w:rsidRDefault="00881FE0" w:rsidP="00F212E2">
      <w:pPr>
        <w:pStyle w:val="ListParagraph"/>
        <w:numPr>
          <w:ilvl w:val="0"/>
          <w:numId w:val="31"/>
        </w:numPr>
        <w:spacing w:after="160" w:line="259" w:lineRule="auto"/>
        <w:rPr>
          <w:rFonts w:ascii="Arial" w:hAnsi="Arial" w:cs="Arial"/>
        </w:rPr>
      </w:pPr>
      <w:r w:rsidRPr="004538CF">
        <w:rPr>
          <w:rFonts w:ascii="Arial" w:hAnsi="Arial" w:cs="Arial"/>
        </w:rPr>
        <w:t>Submission by the LA of a disapplication request to move an additional 1% from the Schools Block to the High Needs Block for 202</w:t>
      </w:r>
      <w:r w:rsidR="004538CF" w:rsidRPr="004538CF">
        <w:rPr>
          <w:rFonts w:ascii="Arial" w:hAnsi="Arial" w:cs="Arial"/>
        </w:rPr>
        <w:t>3</w:t>
      </w:r>
      <w:r w:rsidRPr="004538CF">
        <w:rPr>
          <w:rFonts w:ascii="Arial" w:hAnsi="Arial" w:cs="Arial"/>
        </w:rPr>
        <w:t>-2</w:t>
      </w:r>
      <w:r w:rsidR="004538CF" w:rsidRPr="004538CF">
        <w:rPr>
          <w:rFonts w:ascii="Arial" w:hAnsi="Arial" w:cs="Arial"/>
        </w:rPr>
        <w:t>4</w:t>
      </w:r>
      <w:r w:rsidR="00305562" w:rsidRPr="004538CF">
        <w:rPr>
          <w:rFonts w:ascii="Arial" w:hAnsi="Arial" w:cs="Arial"/>
        </w:rPr>
        <w:t>;</w:t>
      </w:r>
    </w:p>
    <w:p w14:paraId="32EEF272" w14:textId="0FEAA6F2" w:rsidR="00881FE0" w:rsidRPr="004538CF" w:rsidRDefault="00881FE0" w:rsidP="00F212E2">
      <w:pPr>
        <w:pStyle w:val="ListParagraph"/>
        <w:numPr>
          <w:ilvl w:val="0"/>
          <w:numId w:val="31"/>
        </w:numPr>
        <w:spacing w:after="160" w:line="259" w:lineRule="auto"/>
        <w:rPr>
          <w:rFonts w:ascii="Arial" w:hAnsi="Arial" w:cs="Arial"/>
        </w:rPr>
      </w:pPr>
      <w:r w:rsidRPr="004538CF">
        <w:rPr>
          <w:rFonts w:ascii="Arial" w:hAnsi="Arial" w:cs="Arial"/>
        </w:rPr>
        <w:t>DSG 202</w:t>
      </w:r>
      <w:r w:rsidR="004538CF" w:rsidRPr="004538CF">
        <w:rPr>
          <w:rFonts w:ascii="Arial" w:hAnsi="Arial" w:cs="Arial"/>
        </w:rPr>
        <w:t>3</w:t>
      </w:r>
      <w:r w:rsidRPr="004538CF">
        <w:rPr>
          <w:rFonts w:ascii="Arial" w:hAnsi="Arial" w:cs="Arial"/>
        </w:rPr>
        <w:t>-2</w:t>
      </w:r>
      <w:r w:rsidR="004538CF" w:rsidRPr="004538CF">
        <w:rPr>
          <w:rFonts w:ascii="Arial" w:hAnsi="Arial" w:cs="Arial"/>
        </w:rPr>
        <w:t>4</w:t>
      </w:r>
      <w:r w:rsidRPr="004538CF">
        <w:rPr>
          <w:rFonts w:ascii="Arial" w:hAnsi="Arial" w:cs="Arial"/>
        </w:rPr>
        <w:t xml:space="preserve"> allocations</w:t>
      </w:r>
      <w:r w:rsidR="00756392">
        <w:rPr>
          <w:rFonts w:ascii="Arial" w:hAnsi="Arial" w:cs="Arial"/>
        </w:rPr>
        <w:t xml:space="preserve"> published</w:t>
      </w:r>
      <w:r w:rsidRPr="004538CF">
        <w:rPr>
          <w:rFonts w:ascii="Arial" w:hAnsi="Arial" w:cs="Arial"/>
        </w:rPr>
        <w:t xml:space="preserve"> in December 202</w:t>
      </w:r>
      <w:r w:rsidR="004538CF" w:rsidRPr="004538CF">
        <w:rPr>
          <w:rFonts w:ascii="Arial" w:hAnsi="Arial" w:cs="Arial"/>
        </w:rPr>
        <w:t>2</w:t>
      </w:r>
      <w:r w:rsidR="00305562" w:rsidRPr="004538CF">
        <w:rPr>
          <w:rFonts w:ascii="Arial" w:hAnsi="Arial" w:cs="Arial"/>
        </w:rPr>
        <w:t>;</w:t>
      </w:r>
    </w:p>
    <w:p w14:paraId="13D7CE8B" w14:textId="5FCD57D5" w:rsidR="00881FE0" w:rsidRPr="00E30D02" w:rsidRDefault="00E30D02" w:rsidP="00F212E2">
      <w:pPr>
        <w:pStyle w:val="ListParagraph"/>
        <w:numPr>
          <w:ilvl w:val="0"/>
          <w:numId w:val="31"/>
        </w:numPr>
        <w:spacing w:after="160" w:line="259" w:lineRule="auto"/>
        <w:rPr>
          <w:rFonts w:ascii="Arial" w:hAnsi="Arial" w:cs="Arial"/>
        </w:rPr>
      </w:pPr>
      <w:r w:rsidRPr="00E30D02">
        <w:rPr>
          <w:rFonts w:ascii="Arial" w:hAnsi="Arial" w:cs="Arial"/>
        </w:rPr>
        <w:t>Mainstream Schools Additional Grant</w:t>
      </w:r>
      <w:r w:rsidR="00881FE0" w:rsidRPr="00E30D02">
        <w:rPr>
          <w:rFonts w:ascii="Arial" w:hAnsi="Arial" w:cs="Arial"/>
        </w:rPr>
        <w:t xml:space="preserve"> and additional High Needs allocations</w:t>
      </w:r>
      <w:r w:rsidRPr="00E30D02">
        <w:rPr>
          <w:rFonts w:ascii="Arial" w:hAnsi="Arial" w:cs="Arial"/>
        </w:rPr>
        <w:t xml:space="preserve"> published by DfE in December 2022</w:t>
      </w:r>
      <w:r w:rsidR="00305562" w:rsidRPr="00E30D02">
        <w:rPr>
          <w:rFonts w:ascii="Arial" w:hAnsi="Arial" w:cs="Arial"/>
        </w:rPr>
        <w:t>;</w:t>
      </w:r>
    </w:p>
    <w:p w14:paraId="591B56C7" w14:textId="792FBB5E" w:rsidR="00881FE0" w:rsidRPr="004538CF" w:rsidRDefault="004538CF" w:rsidP="00F212E2">
      <w:pPr>
        <w:pStyle w:val="ListParagraph"/>
        <w:numPr>
          <w:ilvl w:val="0"/>
          <w:numId w:val="31"/>
        </w:numPr>
        <w:spacing w:after="160" w:line="259" w:lineRule="auto"/>
        <w:rPr>
          <w:rFonts w:ascii="Arial" w:hAnsi="Arial" w:cs="Arial"/>
        </w:rPr>
      </w:pPr>
      <w:r w:rsidRPr="004538CF">
        <w:rPr>
          <w:rFonts w:ascii="Arial" w:hAnsi="Arial" w:cs="Arial"/>
        </w:rPr>
        <w:t>Confirm</w:t>
      </w:r>
      <w:r w:rsidR="00756392">
        <w:rPr>
          <w:rFonts w:ascii="Arial" w:hAnsi="Arial" w:cs="Arial"/>
        </w:rPr>
        <w:t>ation of</w:t>
      </w:r>
      <w:r w:rsidRPr="004538CF">
        <w:rPr>
          <w:rFonts w:ascii="Arial" w:hAnsi="Arial" w:cs="Arial"/>
        </w:rPr>
        <w:t xml:space="preserve"> i</w:t>
      </w:r>
      <w:r w:rsidR="00881FE0" w:rsidRPr="004538CF">
        <w:rPr>
          <w:rFonts w:ascii="Arial" w:hAnsi="Arial" w:cs="Arial"/>
        </w:rPr>
        <w:t>ncrease</w:t>
      </w:r>
      <w:r w:rsidR="00467062">
        <w:rPr>
          <w:rFonts w:ascii="Arial" w:hAnsi="Arial" w:cs="Arial"/>
        </w:rPr>
        <w:t>s</w:t>
      </w:r>
      <w:r w:rsidR="00881FE0" w:rsidRPr="004538CF">
        <w:rPr>
          <w:rFonts w:ascii="Arial" w:hAnsi="Arial" w:cs="Arial"/>
        </w:rPr>
        <w:t xml:space="preserve"> </w:t>
      </w:r>
      <w:r w:rsidR="00756392">
        <w:rPr>
          <w:rFonts w:ascii="Arial" w:hAnsi="Arial" w:cs="Arial"/>
        </w:rPr>
        <w:t>to</w:t>
      </w:r>
      <w:r w:rsidR="00881FE0" w:rsidRPr="004538CF">
        <w:rPr>
          <w:rFonts w:ascii="Arial" w:hAnsi="Arial" w:cs="Arial"/>
        </w:rPr>
        <w:t xml:space="preserve"> the 2-year-old and 3-and-4-year-old Early Years </w:t>
      </w:r>
      <w:r w:rsidR="001F5822" w:rsidRPr="004538CF">
        <w:rPr>
          <w:rFonts w:ascii="Arial" w:hAnsi="Arial" w:cs="Arial"/>
        </w:rPr>
        <w:t xml:space="preserve">National Funding Formula </w:t>
      </w:r>
      <w:r w:rsidR="00881FE0" w:rsidRPr="004538CF">
        <w:rPr>
          <w:rFonts w:ascii="Arial" w:hAnsi="Arial" w:cs="Arial"/>
        </w:rPr>
        <w:t>hourly rates</w:t>
      </w:r>
      <w:r w:rsidR="00756392">
        <w:rPr>
          <w:rFonts w:ascii="Arial" w:hAnsi="Arial" w:cs="Arial"/>
        </w:rPr>
        <w:t xml:space="preserve"> as well as the M</w:t>
      </w:r>
      <w:r w:rsidR="00467062">
        <w:rPr>
          <w:rFonts w:ascii="Arial" w:hAnsi="Arial" w:cs="Arial"/>
        </w:rPr>
        <w:t>aintained Nursery Supplement for 2023-24</w:t>
      </w:r>
      <w:r w:rsidR="00305562" w:rsidRPr="004538CF">
        <w:rPr>
          <w:rFonts w:ascii="Arial" w:hAnsi="Arial" w:cs="Arial"/>
        </w:rPr>
        <w:t>;</w:t>
      </w:r>
    </w:p>
    <w:p w14:paraId="08DCF78C" w14:textId="682D43D3" w:rsidR="00881FE0" w:rsidRPr="004538CF" w:rsidRDefault="00881FE0" w:rsidP="00F212E2">
      <w:pPr>
        <w:pStyle w:val="ListParagraph"/>
        <w:numPr>
          <w:ilvl w:val="0"/>
          <w:numId w:val="31"/>
        </w:numPr>
        <w:spacing w:after="160" w:line="259" w:lineRule="auto"/>
        <w:rPr>
          <w:rFonts w:ascii="Arial" w:hAnsi="Arial" w:cs="Arial"/>
        </w:rPr>
      </w:pPr>
      <w:r w:rsidRPr="004538CF">
        <w:rPr>
          <w:rFonts w:ascii="Arial" w:hAnsi="Arial" w:cs="Arial"/>
        </w:rPr>
        <w:t>Autumn 202</w:t>
      </w:r>
      <w:r w:rsidR="004538CF" w:rsidRPr="004538CF">
        <w:rPr>
          <w:rFonts w:ascii="Arial" w:hAnsi="Arial" w:cs="Arial"/>
        </w:rPr>
        <w:t>2</w:t>
      </w:r>
      <w:r w:rsidRPr="004538CF">
        <w:rPr>
          <w:rFonts w:ascii="Arial" w:hAnsi="Arial" w:cs="Arial"/>
        </w:rPr>
        <w:t xml:space="preserve"> Early Years census</w:t>
      </w:r>
      <w:r w:rsidR="001F5822" w:rsidRPr="004538CF">
        <w:rPr>
          <w:rFonts w:ascii="Arial" w:hAnsi="Arial" w:cs="Arial"/>
        </w:rPr>
        <w:t>;</w:t>
      </w:r>
    </w:p>
    <w:p w14:paraId="201174E0" w14:textId="19892836" w:rsidR="00881FE0" w:rsidRPr="004538CF" w:rsidRDefault="006A0DCD" w:rsidP="00F212E2">
      <w:pPr>
        <w:pStyle w:val="ListParagraph"/>
        <w:numPr>
          <w:ilvl w:val="0"/>
          <w:numId w:val="31"/>
        </w:numPr>
        <w:spacing w:after="160" w:line="259" w:lineRule="auto"/>
        <w:rPr>
          <w:rFonts w:ascii="Arial" w:hAnsi="Arial" w:cs="Arial"/>
        </w:rPr>
      </w:pPr>
      <w:r w:rsidRPr="004538CF">
        <w:rPr>
          <w:rFonts w:ascii="Arial" w:hAnsi="Arial" w:cs="Arial"/>
        </w:rPr>
        <w:t>Authority Proforma Tool</w:t>
      </w:r>
      <w:r w:rsidR="00CA05BD" w:rsidRPr="004538CF">
        <w:rPr>
          <w:rFonts w:ascii="Arial" w:hAnsi="Arial" w:cs="Arial"/>
        </w:rPr>
        <w:t xml:space="preserve"> issued by DfE</w:t>
      </w:r>
      <w:r w:rsidR="001F5822" w:rsidRPr="004538CF">
        <w:rPr>
          <w:rFonts w:ascii="Arial" w:hAnsi="Arial" w:cs="Arial"/>
        </w:rPr>
        <w:t>.</w:t>
      </w:r>
    </w:p>
    <w:p w14:paraId="67861210" w14:textId="77777777" w:rsidR="00CF540B" w:rsidRPr="00F869FA" w:rsidRDefault="00CF540B" w:rsidP="00CF540B">
      <w:pPr>
        <w:rPr>
          <w:rFonts w:ascii="Arial" w:hAnsi="Arial" w:cs="Arial"/>
          <w:highlight w:val="yellow"/>
        </w:rPr>
      </w:pPr>
    </w:p>
    <w:p w14:paraId="4C1974C0" w14:textId="258A750D" w:rsidR="000F3137" w:rsidRPr="004538CF" w:rsidRDefault="000F3137" w:rsidP="00BC6865">
      <w:pPr>
        <w:pStyle w:val="Heading2"/>
      </w:pPr>
      <w:r w:rsidRPr="004538CF">
        <w:t xml:space="preserve">Central Government Funding Allocations </w:t>
      </w:r>
    </w:p>
    <w:p w14:paraId="450E4275" w14:textId="5032A64A" w:rsidR="00881FE0" w:rsidRPr="004538CF" w:rsidRDefault="00881FE0" w:rsidP="0077303F">
      <w:pPr>
        <w:rPr>
          <w:rFonts w:ascii="Arial" w:hAnsi="Arial" w:cs="Arial"/>
          <w:b/>
          <w:bCs/>
        </w:rPr>
      </w:pPr>
    </w:p>
    <w:p w14:paraId="461ADF93" w14:textId="1DF43AA6" w:rsidR="0077303F" w:rsidRPr="004538CF" w:rsidRDefault="00D94A7E" w:rsidP="0077303F">
      <w:pPr>
        <w:rPr>
          <w:rFonts w:ascii="Arial" w:hAnsi="Arial" w:cs="Arial"/>
          <w:b/>
          <w:bCs/>
        </w:rPr>
      </w:pPr>
      <w:r w:rsidRPr="004538CF">
        <w:rPr>
          <w:rFonts w:ascii="Arial" w:hAnsi="Arial" w:cs="Arial"/>
          <w:b/>
          <w:bCs/>
        </w:rPr>
        <w:t>2.1</w:t>
      </w:r>
      <w:r w:rsidR="0077303F" w:rsidRPr="004538CF">
        <w:rPr>
          <w:rFonts w:ascii="Arial" w:hAnsi="Arial" w:cs="Arial"/>
          <w:b/>
          <w:bCs/>
        </w:rPr>
        <w:tab/>
      </w:r>
      <w:r w:rsidR="003756A2" w:rsidRPr="004538CF">
        <w:rPr>
          <w:rFonts w:ascii="Arial" w:hAnsi="Arial" w:cs="Arial"/>
          <w:b/>
          <w:bCs/>
        </w:rPr>
        <w:t>202</w:t>
      </w:r>
      <w:r w:rsidR="004538CF" w:rsidRPr="004538CF">
        <w:rPr>
          <w:rFonts w:ascii="Arial" w:hAnsi="Arial" w:cs="Arial"/>
          <w:b/>
          <w:bCs/>
        </w:rPr>
        <w:t>3</w:t>
      </w:r>
      <w:r w:rsidR="003756A2" w:rsidRPr="004538CF">
        <w:rPr>
          <w:rFonts w:ascii="Arial" w:hAnsi="Arial" w:cs="Arial"/>
          <w:b/>
          <w:bCs/>
        </w:rPr>
        <w:t>-2</w:t>
      </w:r>
      <w:r w:rsidR="004538CF" w:rsidRPr="004538CF">
        <w:rPr>
          <w:rFonts w:ascii="Arial" w:hAnsi="Arial" w:cs="Arial"/>
          <w:b/>
          <w:bCs/>
        </w:rPr>
        <w:t>4</w:t>
      </w:r>
      <w:r w:rsidR="003756A2" w:rsidRPr="004538CF">
        <w:rPr>
          <w:rFonts w:ascii="Arial" w:hAnsi="Arial" w:cs="Arial"/>
          <w:b/>
          <w:bCs/>
        </w:rPr>
        <w:t xml:space="preserve"> </w:t>
      </w:r>
      <w:r w:rsidR="0077303F" w:rsidRPr="004538CF">
        <w:rPr>
          <w:rFonts w:ascii="Arial" w:hAnsi="Arial" w:cs="Arial"/>
          <w:b/>
          <w:bCs/>
        </w:rPr>
        <w:t>Dedicated Schools Grant Allocation</w:t>
      </w:r>
    </w:p>
    <w:p w14:paraId="23844AAC" w14:textId="77777777" w:rsidR="0077303F" w:rsidRPr="00F869FA" w:rsidRDefault="0077303F" w:rsidP="00901244">
      <w:pPr>
        <w:rPr>
          <w:rFonts w:ascii="Arial" w:hAnsi="Arial" w:cs="Arial"/>
          <w:highlight w:val="yellow"/>
          <w:lang w:val="en"/>
        </w:rPr>
      </w:pPr>
    </w:p>
    <w:p w14:paraId="367E1AF8" w14:textId="01B70CAD" w:rsidR="00D14788" w:rsidRDefault="00966F21" w:rsidP="00901244">
      <w:pPr>
        <w:rPr>
          <w:rFonts w:ascii="Arial" w:hAnsi="Arial" w:cs="Arial"/>
        </w:rPr>
      </w:pPr>
      <w:r>
        <w:rPr>
          <w:rFonts w:ascii="Arial" w:hAnsi="Arial" w:cs="Arial"/>
          <w:lang w:val="en"/>
        </w:rPr>
        <w:t>Norfolk’s</w:t>
      </w:r>
      <w:r w:rsidR="00901244" w:rsidRPr="005D525D">
        <w:rPr>
          <w:rFonts w:ascii="Arial" w:hAnsi="Arial" w:cs="Arial"/>
          <w:lang w:val="en"/>
        </w:rPr>
        <w:t xml:space="preserve"> </w:t>
      </w:r>
      <w:r w:rsidR="00901244" w:rsidRPr="005D525D">
        <w:rPr>
          <w:rFonts w:ascii="Arial" w:hAnsi="Arial" w:cs="Arial"/>
        </w:rPr>
        <w:t>D</w:t>
      </w:r>
      <w:r w:rsidR="00EC249F" w:rsidRPr="005D525D">
        <w:rPr>
          <w:rFonts w:ascii="Arial" w:hAnsi="Arial" w:cs="Arial"/>
        </w:rPr>
        <w:t>edicated Schools Grant (</w:t>
      </w:r>
      <w:r w:rsidR="00901244" w:rsidRPr="005D525D">
        <w:rPr>
          <w:rFonts w:ascii="Arial" w:hAnsi="Arial" w:cs="Arial"/>
        </w:rPr>
        <w:t>DSG</w:t>
      </w:r>
      <w:r w:rsidR="00EC249F" w:rsidRPr="005D525D">
        <w:rPr>
          <w:rFonts w:ascii="Arial" w:hAnsi="Arial" w:cs="Arial"/>
        </w:rPr>
        <w:t>)</w:t>
      </w:r>
      <w:r w:rsidR="00901244" w:rsidRPr="005D525D">
        <w:rPr>
          <w:rFonts w:ascii="Arial" w:hAnsi="Arial" w:cs="Arial"/>
        </w:rPr>
        <w:t xml:space="preserve"> allocation for </w:t>
      </w:r>
      <w:r w:rsidR="00A43941">
        <w:rPr>
          <w:rFonts w:ascii="Arial" w:hAnsi="Arial" w:cs="Arial"/>
        </w:rPr>
        <w:t>2023-24</w:t>
      </w:r>
      <w:r w:rsidR="00901244" w:rsidRPr="005D525D">
        <w:rPr>
          <w:rFonts w:ascii="Arial" w:hAnsi="Arial" w:cs="Arial"/>
        </w:rPr>
        <w:t xml:space="preserve"> was </w:t>
      </w:r>
      <w:r w:rsidR="00CE4670" w:rsidRPr="005D525D">
        <w:rPr>
          <w:rFonts w:ascii="Arial" w:hAnsi="Arial" w:cs="Arial"/>
        </w:rPr>
        <w:t>published by the DfE</w:t>
      </w:r>
      <w:r w:rsidR="00901244" w:rsidRPr="005D525D">
        <w:rPr>
          <w:rFonts w:ascii="Arial" w:hAnsi="Arial" w:cs="Arial"/>
        </w:rPr>
        <w:t xml:space="preserve"> in December 20</w:t>
      </w:r>
      <w:r w:rsidR="001A5FA0" w:rsidRPr="005D525D">
        <w:rPr>
          <w:rFonts w:ascii="Arial" w:hAnsi="Arial" w:cs="Arial"/>
        </w:rPr>
        <w:t>2</w:t>
      </w:r>
      <w:r w:rsidR="005D525D" w:rsidRPr="005D525D">
        <w:rPr>
          <w:rFonts w:ascii="Arial" w:hAnsi="Arial" w:cs="Arial"/>
        </w:rPr>
        <w:t>2</w:t>
      </w:r>
      <w:r w:rsidR="00901244" w:rsidRPr="005D525D">
        <w:rPr>
          <w:rFonts w:ascii="Arial" w:hAnsi="Arial" w:cs="Arial"/>
        </w:rPr>
        <w:t xml:space="preserve"> and </w:t>
      </w:r>
      <w:r w:rsidR="00901244" w:rsidRPr="000F54D6">
        <w:rPr>
          <w:rFonts w:ascii="Arial" w:hAnsi="Arial" w:cs="Arial"/>
        </w:rPr>
        <w:t>totals £</w:t>
      </w:r>
      <w:r w:rsidR="00C407CB" w:rsidRPr="000F54D6">
        <w:rPr>
          <w:rFonts w:ascii="Arial" w:hAnsi="Arial" w:cs="Arial"/>
        </w:rPr>
        <w:t>7</w:t>
      </w:r>
      <w:r w:rsidR="000F54D6" w:rsidRPr="000F54D6">
        <w:rPr>
          <w:rFonts w:ascii="Arial" w:hAnsi="Arial" w:cs="Arial"/>
        </w:rPr>
        <w:t>87.655</w:t>
      </w:r>
      <w:r w:rsidR="00284C92" w:rsidRPr="000F54D6">
        <w:rPr>
          <w:rFonts w:ascii="Arial" w:hAnsi="Arial" w:cs="Arial"/>
        </w:rPr>
        <w:t xml:space="preserve">m </w:t>
      </w:r>
      <w:r w:rsidR="00901244" w:rsidRPr="005D525D">
        <w:rPr>
          <w:rFonts w:ascii="Arial" w:hAnsi="Arial" w:cs="Arial"/>
        </w:rPr>
        <w:t xml:space="preserve">before academy recoupment.  This </w:t>
      </w:r>
      <w:r w:rsidR="00901244" w:rsidRPr="000F6F1D">
        <w:rPr>
          <w:rFonts w:ascii="Arial" w:hAnsi="Arial" w:cs="Arial"/>
        </w:rPr>
        <w:t>compares to a total DSG allocation of £</w:t>
      </w:r>
      <w:r w:rsidR="000F6F1D" w:rsidRPr="000F6F1D">
        <w:rPr>
          <w:rFonts w:ascii="Arial" w:hAnsi="Arial" w:cs="Arial"/>
        </w:rPr>
        <w:t>737.767</w:t>
      </w:r>
      <w:r w:rsidR="00901244" w:rsidRPr="000F6F1D">
        <w:rPr>
          <w:rFonts w:ascii="Arial" w:hAnsi="Arial" w:cs="Arial"/>
        </w:rPr>
        <w:t>m in</w:t>
      </w:r>
      <w:r w:rsidR="00901244" w:rsidRPr="005D525D">
        <w:rPr>
          <w:rFonts w:ascii="Arial" w:hAnsi="Arial" w:cs="Arial"/>
        </w:rPr>
        <w:t xml:space="preserve"> </w:t>
      </w:r>
      <w:r w:rsidR="00A4319F">
        <w:rPr>
          <w:rFonts w:ascii="Arial" w:hAnsi="Arial" w:cs="Arial"/>
        </w:rPr>
        <w:t>2022-23</w:t>
      </w:r>
      <w:r w:rsidR="00901244" w:rsidRPr="005D525D">
        <w:rPr>
          <w:rFonts w:ascii="Arial" w:hAnsi="Arial" w:cs="Arial"/>
        </w:rPr>
        <w:t xml:space="preserve"> as at the </w:t>
      </w:r>
      <w:r w:rsidR="006A2F8B" w:rsidRPr="005D525D">
        <w:rPr>
          <w:rFonts w:ascii="Arial" w:hAnsi="Arial" w:cs="Arial"/>
        </w:rPr>
        <w:t>Nove</w:t>
      </w:r>
      <w:r w:rsidR="00901244" w:rsidRPr="005D525D">
        <w:rPr>
          <w:rFonts w:ascii="Arial" w:hAnsi="Arial" w:cs="Arial"/>
        </w:rPr>
        <w:t>mber 20</w:t>
      </w:r>
      <w:r w:rsidR="001A5FA0" w:rsidRPr="005D525D">
        <w:rPr>
          <w:rFonts w:ascii="Arial" w:hAnsi="Arial" w:cs="Arial"/>
        </w:rPr>
        <w:t>2</w:t>
      </w:r>
      <w:r w:rsidR="005D525D">
        <w:rPr>
          <w:rFonts w:ascii="Arial" w:hAnsi="Arial" w:cs="Arial"/>
        </w:rPr>
        <w:t>2</w:t>
      </w:r>
      <w:r w:rsidR="00901244" w:rsidRPr="005D525D">
        <w:rPr>
          <w:rFonts w:ascii="Arial" w:hAnsi="Arial" w:cs="Arial"/>
        </w:rPr>
        <w:t xml:space="preserve"> DSG update</w:t>
      </w:r>
      <w:r w:rsidR="00245A60" w:rsidRPr="005D525D">
        <w:rPr>
          <w:rFonts w:ascii="Arial" w:hAnsi="Arial" w:cs="Arial"/>
        </w:rPr>
        <w:t>;</w:t>
      </w:r>
      <w:r w:rsidR="005B5B50" w:rsidRPr="005D525D">
        <w:rPr>
          <w:rFonts w:ascii="Arial" w:hAnsi="Arial" w:cs="Arial"/>
        </w:rPr>
        <w:t xml:space="preserve"> an overall increase of </w:t>
      </w:r>
      <w:r w:rsidR="005B5B50" w:rsidRPr="00BB7F14">
        <w:rPr>
          <w:rFonts w:ascii="Arial" w:hAnsi="Arial" w:cs="Arial"/>
        </w:rPr>
        <w:t>£</w:t>
      </w:r>
      <w:r w:rsidR="00BB7F14" w:rsidRPr="00BB7F14">
        <w:rPr>
          <w:rFonts w:ascii="Arial" w:hAnsi="Arial" w:cs="Arial"/>
        </w:rPr>
        <w:t>49.888</w:t>
      </w:r>
      <w:r w:rsidR="005B5B50" w:rsidRPr="00BB7F14">
        <w:rPr>
          <w:rFonts w:ascii="Arial" w:hAnsi="Arial" w:cs="Arial"/>
        </w:rPr>
        <w:t>m</w:t>
      </w:r>
      <w:r w:rsidR="00C407CB" w:rsidRPr="00BB7F14">
        <w:rPr>
          <w:rFonts w:ascii="Arial" w:hAnsi="Arial" w:cs="Arial"/>
        </w:rPr>
        <w:t xml:space="preserve"> </w:t>
      </w:r>
      <w:r w:rsidR="00C407CB" w:rsidRPr="005D525D">
        <w:rPr>
          <w:rFonts w:ascii="Arial" w:hAnsi="Arial" w:cs="Arial"/>
        </w:rPr>
        <w:t>between years</w:t>
      </w:r>
      <w:r w:rsidR="00BF72FB" w:rsidRPr="005D525D">
        <w:rPr>
          <w:rFonts w:ascii="Arial" w:hAnsi="Arial" w:cs="Arial"/>
        </w:rPr>
        <w:t>.</w:t>
      </w:r>
    </w:p>
    <w:p w14:paraId="257D773E" w14:textId="77777777" w:rsidR="00E4511B" w:rsidRDefault="00E4511B" w:rsidP="00901244">
      <w:pPr>
        <w:rPr>
          <w:rFonts w:ascii="Arial" w:hAnsi="Arial" w:cs="Arial"/>
          <w:lang w:val="en"/>
        </w:rPr>
      </w:pPr>
    </w:p>
    <w:p w14:paraId="5AE43C3C" w14:textId="1B2591C3" w:rsidR="000A58CD" w:rsidRDefault="000A58CD" w:rsidP="00901244">
      <w:pPr>
        <w:rPr>
          <w:rFonts w:ascii="Arial" w:hAnsi="Arial" w:cs="Arial"/>
          <w:lang w:val="en"/>
        </w:rPr>
      </w:pPr>
      <w:r>
        <w:rPr>
          <w:rFonts w:ascii="Arial" w:hAnsi="Arial" w:cs="Arial"/>
          <w:lang w:val="en"/>
        </w:rPr>
        <w:lastRenderedPageBreak/>
        <w:t xml:space="preserve">An additional £2bn for both 2023-24 and 2024-25 </w:t>
      </w:r>
      <w:r w:rsidR="003C131E">
        <w:rPr>
          <w:rFonts w:ascii="Arial" w:hAnsi="Arial" w:cs="Arial"/>
          <w:lang w:val="en"/>
        </w:rPr>
        <w:t xml:space="preserve">financial years </w:t>
      </w:r>
      <w:r>
        <w:rPr>
          <w:rFonts w:ascii="Arial" w:hAnsi="Arial" w:cs="Arial"/>
          <w:lang w:val="en"/>
        </w:rPr>
        <w:t>w</w:t>
      </w:r>
      <w:r w:rsidR="003C131E">
        <w:rPr>
          <w:rFonts w:ascii="Arial" w:hAnsi="Arial" w:cs="Arial"/>
          <w:lang w:val="en"/>
        </w:rPr>
        <w:t>as</w:t>
      </w:r>
      <w:r>
        <w:rPr>
          <w:rFonts w:ascii="Arial" w:hAnsi="Arial" w:cs="Arial"/>
          <w:lang w:val="en"/>
        </w:rPr>
        <w:t xml:space="preserve"> announced in the </w:t>
      </w:r>
      <w:r w:rsidR="00A938D8">
        <w:rPr>
          <w:rFonts w:ascii="Arial" w:hAnsi="Arial" w:cs="Arial"/>
          <w:lang w:val="en"/>
        </w:rPr>
        <w:t>Government’s</w:t>
      </w:r>
      <w:r>
        <w:rPr>
          <w:rFonts w:ascii="Arial" w:hAnsi="Arial" w:cs="Arial"/>
          <w:lang w:val="en"/>
        </w:rPr>
        <w:t xml:space="preserve"> autumn statement</w:t>
      </w:r>
      <w:r w:rsidR="009578D7">
        <w:rPr>
          <w:rFonts w:ascii="Arial" w:hAnsi="Arial" w:cs="Arial"/>
          <w:lang w:val="en"/>
        </w:rPr>
        <w:t xml:space="preserve">, </w:t>
      </w:r>
      <w:r w:rsidR="002915C0">
        <w:rPr>
          <w:rFonts w:ascii="Arial" w:hAnsi="Arial" w:cs="Arial"/>
          <w:lang w:val="en"/>
        </w:rPr>
        <w:t>and the DfE states that funding increases</w:t>
      </w:r>
      <w:r w:rsidR="001062D1">
        <w:rPr>
          <w:rFonts w:ascii="Arial" w:hAnsi="Arial" w:cs="Arial"/>
          <w:lang w:val="en"/>
        </w:rPr>
        <w:t xml:space="preserve"> for mainstream schools are</w:t>
      </w:r>
      <w:r w:rsidR="002915C0">
        <w:rPr>
          <w:rFonts w:ascii="Arial" w:hAnsi="Arial" w:cs="Arial"/>
          <w:lang w:val="en"/>
        </w:rPr>
        <w:t xml:space="preserve"> </w:t>
      </w:r>
      <w:r w:rsidR="009578D7">
        <w:rPr>
          <w:rFonts w:ascii="Arial" w:hAnsi="Arial" w:cs="Arial"/>
          <w:lang w:val="en"/>
        </w:rPr>
        <w:t xml:space="preserve">equivalent to a per-pupil increase of approximately 5% </w:t>
      </w:r>
      <w:r w:rsidR="001E5533">
        <w:rPr>
          <w:rFonts w:ascii="Arial" w:hAnsi="Arial" w:cs="Arial"/>
          <w:lang w:val="en"/>
        </w:rPr>
        <w:t xml:space="preserve">overall </w:t>
      </w:r>
      <w:r w:rsidR="009578D7">
        <w:rPr>
          <w:rFonts w:ascii="Arial" w:hAnsi="Arial" w:cs="Arial"/>
          <w:lang w:val="en"/>
        </w:rPr>
        <w:t>compared to 2022-23</w:t>
      </w:r>
      <w:r w:rsidR="00A938D8">
        <w:rPr>
          <w:rStyle w:val="FootnoteReference"/>
          <w:rFonts w:ascii="Arial" w:hAnsi="Arial" w:cs="Arial"/>
          <w:lang w:val="en"/>
        </w:rPr>
        <w:footnoteReference w:id="2"/>
      </w:r>
      <w:r w:rsidR="00124E09">
        <w:rPr>
          <w:rFonts w:ascii="Arial" w:hAnsi="Arial" w:cs="Arial"/>
          <w:lang w:val="en"/>
        </w:rPr>
        <w:t>.</w:t>
      </w:r>
    </w:p>
    <w:p w14:paraId="50C57E2A" w14:textId="77777777" w:rsidR="000A58CD" w:rsidRDefault="000A58CD" w:rsidP="00901244">
      <w:pPr>
        <w:rPr>
          <w:rFonts w:ascii="Arial" w:hAnsi="Arial" w:cs="Arial"/>
          <w:lang w:val="en"/>
        </w:rPr>
      </w:pPr>
    </w:p>
    <w:p w14:paraId="272C7BDC" w14:textId="131E8C86" w:rsidR="00B67A4B" w:rsidRPr="009A6A01" w:rsidRDefault="003C131E" w:rsidP="00B67A4B">
      <w:pPr>
        <w:rPr>
          <w:rFonts w:ascii="Arial" w:hAnsi="Arial" w:cs="Arial"/>
          <w:color w:val="0B0C0C"/>
          <w:shd w:val="clear" w:color="auto" w:fill="FFFFFF"/>
        </w:rPr>
      </w:pPr>
      <w:r>
        <w:rPr>
          <w:rFonts w:ascii="Arial" w:hAnsi="Arial" w:cs="Arial"/>
          <w:color w:val="0B0C0C"/>
          <w:shd w:val="clear" w:color="auto" w:fill="FFFFFF"/>
        </w:rPr>
        <w:t xml:space="preserve">Within the additional £2bn for 2023-24, an extra </w:t>
      </w:r>
      <w:r w:rsidR="00B67A4B">
        <w:rPr>
          <w:rFonts w:ascii="Arial" w:hAnsi="Arial" w:cs="Arial"/>
          <w:color w:val="0B0C0C"/>
          <w:shd w:val="clear" w:color="auto" w:fill="FFFFFF"/>
        </w:rPr>
        <w:t xml:space="preserve">£400m </w:t>
      </w:r>
      <w:r>
        <w:rPr>
          <w:rFonts w:ascii="Arial" w:hAnsi="Arial" w:cs="Arial"/>
          <w:color w:val="0B0C0C"/>
          <w:shd w:val="clear" w:color="auto" w:fill="FFFFFF"/>
        </w:rPr>
        <w:t xml:space="preserve">was </w:t>
      </w:r>
      <w:r w:rsidR="00B67A4B">
        <w:rPr>
          <w:rFonts w:ascii="Arial" w:hAnsi="Arial" w:cs="Arial"/>
          <w:color w:val="0B0C0C"/>
          <w:shd w:val="clear" w:color="auto" w:fill="FFFFFF"/>
        </w:rPr>
        <w:t>announced national</w:t>
      </w:r>
      <w:r>
        <w:rPr>
          <w:rFonts w:ascii="Arial" w:hAnsi="Arial" w:cs="Arial"/>
          <w:color w:val="0B0C0C"/>
          <w:shd w:val="clear" w:color="auto" w:fill="FFFFFF"/>
        </w:rPr>
        <w:t>ly</w:t>
      </w:r>
      <w:r w:rsidR="00B67A4B">
        <w:rPr>
          <w:rFonts w:ascii="Arial" w:hAnsi="Arial" w:cs="Arial"/>
          <w:color w:val="0B0C0C"/>
          <w:shd w:val="clear" w:color="auto" w:fill="FFFFFF"/>
        </w:rPr>
        <w:t xml:space="preserve"> for High Needs</w:t>
      </w:r>
      <w:r w:rsidR="004168E7">
        <w:rPr>
          <w:rFonts w:ascii="Arial" w:hAnsi="Arial" w:cs="Arial"/>
          <w:color w:val="0B0C0C"/>
          <w:shd w:val="clear" w:color="auto" w:fill="FFFFFF"/>
        </w:rPr>
        <w:t xml:space="preserve">.  </w:t>
      </w:r>
      <w:r w:rsidR="00966F21">
        <w:rPr>
          <w:rFonts w:ascii="Arial" w:hAnsi="Arial" w:cs="Arial"/>
          <w:color w:val="0B0C0C"/>
          <w:shd w:val="clear" w:color="auto" w:fill="FFFFFF"/>
        </w:rPr>
        <w:t xml:space="preserve">Norfolk will receive </w:t>
      </w:r>
      <w:r w:rsidR="00B67A4B">
        <w:rPr>
          <w:rFonts w:ascii="Arial" w:hAnsi="Arial" w:cs="Arial"/>
          <w:color w:val="0B0C0C"/>
          <w:shd w:val="clear" w:color="auto" w:fill="FFFFFF"/>
        </w:rPr>
        <w:t>a</w:t>
      </w:r>
      <w:r w:rsidR="00B67A4B" w:rsidRPr="009A6A01">
        <w:rPr>
          <w:rFonts w:ascii="Arial" w:hAnsi="Arial" w:cs="Arial"/>
          <w:color w:val="0B0C0C"/>
          <w:shd w:val="clear" w:color="auto" w:fill="FFFFFF"/>
        </w:rPr>
        <w:t>n additional £5.349m of High Needs additional DSG funding included within the published DSG allocations (</w:t>
      </w:r>
      <w:r w:rsidR="003D4DDF">
        <w:rPr>
          <w:rFonts w:ascii="Arial" w:hAnsi="Arial" w:cs="Arial"/>
          <w:color w:val="0B0C0C"/>
          <w:shd w:val="clear" w:color="auto" w:fill="FFFFFF"/>
        </w:rPr>
        <w:t xml:space="preserve">bringing </w:t>
      </w:r>
      <w:r w:rsidR="00B67A4B" w:rsidRPr="009A6A01">
        <w:rPr>
          <w:rFonts w:ascii="Arial" w:hAnsi="Arial" w:cs="Arial"/>
          <w:color w:val="0B0C0C"/>
          <w:shd w:val="clear" w:color="auto" w:fill="FFFFFF"/>
        </w:rPr>
        <w:t>the total High Needs allocation</w:t>
      </w:r>
      <w:r w:rsidR="00B67A4B">
        <w:rPr>
          <w:rFonts w:ascii="Arial" w:hAnsi="Arial" w:cs="Arial"/>
          <w:color w:val="0B0C0C"/>
          <w:shd w:val="clear" w:color="auto" w:fill="FFFFFF"/>
        </w:rPr>
        <w:t xml:space="preserve"> for 2023-24</w:t>
      </w:r>
      <w:r w:rsidR="00B67A4B" w:rsidRPr="009A6A01">
        <w:rPr>
          <w:rFonts w:ascii="Arial" w:hAnsi="Arial" w:cs="Arial"/>
          <w:color w:val="0B0C0C"/>
          <w:shd w:val="clear" w:color="auto" w:fill="FFFFFF"/>
        </w:rPr>
        <w:t xml:space="preserve"> to £135.212m).  Part of this additional High Needs funding must be used to allocate an additional 3.4% to special and AP schools and academies, as per the 2023</w:t>
      </w:r>
      <w:r w:rsidR="00B67A4B">
        <w:rPr>
          <w:rFonts w:ascii="Arial" w:hAnsi="Arial" w:cs="Arial"/>
          <w:color w:val="0B0C0C"/>
          <w:shd w:val="clear" w:color="auto" w:fill="FFFFFF"/>
        </w:rPr>
        <w:t>-</w:t>
      </w:r>
      <w:r w:rsidR="00B67A4B" w:rsidRPr="009A6A01">
        <w:rPr>
          <w:rFonts w:ascii="Arial" w:hAnsi="Arial" w:cs="Arial"/>
          <w:color w:val="0B0C0C"/>
          <w:shd w:val="clear" w:color="auto" w:fill="FFFFFF"/>
        </w:rPr>
        <w:t>24 DSG conditions of grant.</w:t>
      </w:r>
    </w:p>
    <w:p w14:paraId="7541DB55" w14:textId="77777777" w:rsidR="00B67A4B" w:rsidRDefault="00B67A4B" w:rsidP="00901244">
      <w:pPr>
        <w:rPr>
          <w:rFonts w:ascii="Arial" w:hAnsi="Arial" w:cs="Arial"/>
          <w:lang w:val="en"/>
        </w:rPr>
      </w:pPr>
    </w:p>
    <w:p w14:paraId="71841CD8" w14:textId="2292F940" w:rsidR="004C60C5" w:rsidRPr="002D048D" w:rsidRDefault="004168E7" w:rsidP="0076353E">
      <w:pPr>
        <w:rPr>
          <w:rFonts w:ascii="Arial" w:hAnsi="Arial" w:cs="Arial"/>
        </w:rPr>
      </w:pPr>
      <w:r>
        <w:rPr>
          <w:rFonts w:ascii="Arial" w:hAnsi="Arial" w:cs="Arial"/>
        </w:rPr>
        <w:t>As well as an</w:t>
      </w:r>
      <w:r w:rsidR="00C407CB" w:rsidRPr="002D048D">
        <w:rPr>
          <w:rFonts w:ascii="Arial" w:hAnsi="Arial" w:cs="Arial"/>
        </w:rPr>
        <w:t xml:space="preserve"> increased DSG allocation, the Government has announced</w:t>
      </w:r>
      <w:r w:rsidR="00602A65" w:rsidRPr="002D048D">
        <w:rPr>
          <w:rFonts w:ascii="Arial" w:hAnsi="Arial" w:cs="Arial"/>
        </w:rPr>
        <w:t xml:space="preserve"> </w:t>
      </w:r>
      <w:r w:rsidR="00C407CB" w:rsidRPr="002D048D">
        <w:rPr>
          <w:rFonts w:ascii="Arial" w:hAnsi="Arial" w:cs="Arial"/>
        </w:rPr>
        <w:t>£1.</w:t>
      </w:r>
      <w:r w:rsidR="008F02D3" w:rsidRPr="002D048D">
        <w:rPr>
          <w:rFonts w:ascii="Arial" w:hAnsi="Arial" w:cs="Arial"/>
        </w:rPr>
        <w:t>451</w:t>
      </w:r>
      <w:r w:rsidR="00C407CB" w:rsidRPr="002D048D">
        <w:rPr>
          <w:rFonts w:ascii="Arial" w:hAnsi="Arial" w:cs="Arial"/>
        </w:rPr>
        <w:t>bn</w:t>
      </w:r>
      <w:r w:rsidR="0095306F" w:rsidRPr="002D048D">
        <w:rPr>
          <w:rStyle w:val="FootnoteReference"/>
          <w:rFonts w:ascii="Arial" w:hAnsi="Arial" w:cs="Arial"/>
        </w:rPr>
        <w:footnoteReference w:id="3"/>
      </w:r>
      <w:r w:rsidR="00C407CB" w:rsidRPr="002D048D">
        <w:rPr>
          <w:rFonts w:ascii="Arial" w:hAnsi="Arial" w:cs="Arial"/>
        </w:rPr>
        <w:t xml:space="preserve"> nationally for </w:t>
      </w:r>
      <w:r w:rsidR="00A4319F" w:rsidRPr="002D048D">
        <w:rPr>
          <w:rFonts w:ascii="Arial" w:hAnsi="Arial" w:cs="Arial"/>
        </w:rPr>
        <w:t>202</w:t>
      </w:r>
      <w:r w:rsidR="008F02D3" w:rsidRPr="002D048D">
        <w:rPr>
          <w:rFonts w:ascii="Arial" w:hAnsi="Arial" w:cs="Arial"/>
        </w:rPr>
        <w:t>3</w:t>
      </w:r>
      <w:r w:rsidR="00A4319F" w:rsidRPr="002D048D">
        <w:rPr>
          <w:rFonts w:ascii="Arial" w:hAnsi="Arial" w:cs="Arial"/>
        </w:rPr>
        <w:t>-2</w:t>
      </w:r>
      <w:r w:rsidR="008F02D3" w:rsidRPr="002D048D">
        <w:rPr>
          <w:rFonts w:ascii="Arial" w:hAnsi="Arial" w:cs="Arial"/>
        </w:rPr>
        <w:t>4</w:t>
      </w:r>
      <w:r w:rsidR="003B0E00" w:rsidRPr="002D048D">
        <w:rPr>
          <w:rFonts w:ascii="Arial" w:hAnsi="Arial" w:cs="Arial"/>
        </w:rPr>
        <w:t xml:space="preserve"> </w:t>
      </w:r>
      <w:r w:rsidR="008F02D3" w:rsidRPr="002D048D">
        <w:rPr>
          <w:rFonts w:ascii="Arial" w:hAnsi="Arial" w:cs="Arial"/>
        </w:rPr>
        <w:t xml:space="preserve">in the form of </w:t>
      </w:r>
      <w:r w:rsidR="00CE4606" w:rsidRPr="002D048D">
        <w:rPr>
          <w:rFonts w:ascii="Arial" w:hAnsi="Arial" w:cs="Arial"/>
        </w:rPr>
        <w:t>‘</w:t>
      </w:r>
      <w:r w:rsidR="008F02D3" w:rsidRPr="002D048D">
        <w:rPr>
          <w:rFonts w:ascii="Arial" w:hAnsi="Arial" w:cs="Arial"/>
        </w:rPr>
        <w:t>Mainstream Schools Additional Grant</w:t>
      </w:r>
      <w:r w:rsidR="00CE4606" w:rsidRPr="002D048D">
        <w:rPr>
          <w:rFonts w:ascii="Arial" w:hAnsi="Arial" w:cs="Arial"/>
        </w:rPr>
        <w:t>’</w:t>
      </w:r>
      <w:r w:rsidR="002D048D" w:rsidRPr="002D048D">
        <w:rPr>
          <w:rFonts w:ascii="Arial" w:hAnsi="Arial" w:cs="Arial"/>
        </w:rPr>
        <w:t>.</w:t>
      </w:r>
      <w:r w:rsidR="00CE4606" w:rsidRPr="002D048D">
        <w:rPr>
          <w:rFonts w:ascii="Arial" w:hAnsi="Arial" w:cs="Arial"/>
        </w:rPr>
        <w:t xml:space="preserve"> </w:t>
      </w:r>
      <w:r w:rsidR="002D048D" w:rsidRPr="002D048D">
        <w:rPr>
          <w:rFonts w:ascii="Arial" w:hAnsi="Arial" w:cs="Arial"/>
        </w:rPr>
        <w:t xml:space="preserve"> </w:t>
      </w:r>
      <w:r w:rsidR="00CE4606" w:rsidRPr="002D048D">
        <w:rPr>
          <w:rFonts w:ascii="Arial" w:hAnsi="Arial" w:cs="Arial"/>
        </w:rPr>
        <w:t xml:space="preserve">Norfolk’s share </w:t>
      </w:r>
      <w:r w:rsidR="00A029CA" w:rsidRPr="002D048D">
        <w:rPr>
          <w:rFonts w:ascii="Arial" w:hAnsi="Arial" w:cs="Arial"/>
        </w:rPr>
        <w:t>is</w:t>
      </w:r>
      <w:r w:rsidR="002D048D" w:rsidRPr="002D048D">
        <w:rPr>
          <w:rFonts w:ascii="Arial" w:hAnsi="Arial" w:cs="Arial"/>
        </w:rPr>
        <w:t>,</w:t>
      </w:r>
      <w:r w:rsidR="00A029CA" w:rsidRPr="002D048D">
        <w:rPr>
          <w:rFonts w:ascii="Arial" w:hAnsi="Arial" w:cs="Arial"/>
        </w:rPr>
        <w:t xml:space="preserve"> indicatively</w:t>
      </w:r>
      <w:r w:rsidR="002D048D" w:rsidRPr="002D048D">
        <w:rPr>
          <w:rFonts w:ascii="Arial" w:hAnsi="Arial" w:cs="Arial"/>
        </w:rPr>
        <w:t>,</w:t>
      </w:r>
      <w:r w:rsidR="00CE4606" w:rsidRPr="002D048D">
        <w:rPr>
          <w:rFonts w:ascii="Arial" w:hAnsi="Arial" w:cs="Arial"/>
        </w:rPr>
        <w:t xml:space="preserve"> £</w:t>
      </w:r>
      <w:r w:rsidR="00A029CA" w:rsidRPr="002D048D">
        <w:rPr>
          <w:rFonts w:ascii="Arial" w:hAnsi="Arial" w:cs="Arial"/>
        </w:rPr>
        <w:t>20.5m</w:t>
      </w:r>
      <w:r w:rsidR="002D048D" w:rsidRPr="002D048D">
        <w:rPr>
          <w:rFonts w:ascii="Arial" w:hAnsi="Arial" w:cs="Arial"/>
        </w:rPr>
        <w:t xml:space="preserve"> and the grant </w:t>
      </w:r>
      <w:r w:rsidR="004C513D" w:rsidRPr="002D048D">
        <w:rPr>
          <w:rFonts w:ascii="Arial" w:hAnsi="Arial" w:cs="Arial"/>
          <w:color w:val="0B0C0C"/>
          <w:shd w:val="clear" w:color="auto" w:fill="FFFFFF"/>
        </w:rPr>
        <w:t>will be allocated to mainstream schools and academies</w:t>
      </w:r>
      <w:r w:rsidR="004A58D5" w:rsidRPr="002D048D">
        <w:rPr>
          <w:rFonts w:ascii="Arial" w:hAnsi="Arial" w:cs="Arial"/>
          <w:color w:val="0B0C0C"/>
          <w:shd w:val="clear" w:color="auto" w:fill="FFFFFF"/>
        </w:rPr>
        <w:t xml:space="preserve">.  </w:t>
      </w:r>
      <w:r w:rsidR="005C40CE" w:rsidRPr="002D048D">
        <w:rPr>
          <w:rFonts w:ascii="Arial" w:hAnsi="Arial" w:cs="Arial"/>
          <w:color w:val="0B0C0C"/>
          <w:shd w:val="clear" w:color="auto" w:fill="FFFFFF"/>
        </w:rPr>
        <w:t>School level allocations are</w:t>
      </w:r>
      <w:r w:rsidR="00D14788" w:rsidRPr="002D048D">
        <w:rPr>
          <w:rFonts w:ascii="Arial" w:hAnsi="Arial" w:cs="Arial"/>
          <w:color w:val="0B0C0C"/>
          <w:shd w:val="clear" w:color="auto" w:fill="FFFFFF"/>
        </w:rPr>
        <w:t xml:space="preserve"> expected from the DfE in spring 202</w:t>
      </w:r>
      <w:r w:rsidR="005C40CE" w:rsidRPr="002D048D">
        <w:rPr>
          <w:rFonts w:ascii="Arial" w:hAnsi="Arial" w:cs="Arial"/>
          <w:color w:val="0B0C0C"/>
          <w:shd w:val="clear" w:color="auto" w:fill="FFFFFF"/>
        </w:rPr>
        <w:t>3</w:t>
      </w:r>
      <w:r w:rsidR="004A58D5" w:rsidRPr="002D048D">
        <w:rPr>
          <w:rFonts w:ascii="Arial" w:hAnsi="Arial" w:cs="Arial"/>
          <w:color w:val="0B0C0C"/>
          <w:shd w:val="clear" w:color="auto" w:fill="FFFFFF"/>
        </w:rPr>
        <w:t xml:space="preserve">.  </w:t>
      </w:r>
    </w:p>
    <w:p w14:paraId="4346A24E" w14:textId="77777777" w:rsidR="004C60C5" w:rsidRPr="000D39D2" w:rsidRDefault="004C60C5" w:rsidP="0076353E">
      <w:pPr>
        <w:rPr>
          <w:rFonts w:ascii="Arial" w:hAnsi="Arial" w:cs="Arial"/>
        </w:rPr>
      </w:pPr>
    </w:p>
    <w:p w14:paraId="3A3C29DC" w14:textId="52AF0E38" w:rsidR="000D39D2" w:rsidRPr="000D39D2" w:rsidRDefault="001062D1" w:rsidP="000D39D2">
      <w:pPr>
        <w:rPr>
          <w:rFonts w:ascii="Arial" w:hAnsi="Arial" w:cs="Arial"/>
        </w:rPr>
      </w:pPr>
      <w:r w:rsidRPr="000D39D2">
        <w:rPr>
          <w:rFonts w:ascii="Arial" w:hAnsi="Arial" w:cs="Arial"/>
        </w:rPr>
        <w:t>Finally,</w:t>
      </w:r>
      <w:r w:rsidR="000D39D2" w:rsidRPr="000D39D2">
        <w:rPr>
          <w:rFonts w:ascii="Arial" w:hAnsi="Arial" w:cs="Arial"/>
        </w:rPr>
        <w:t xml:space="preserve"> the DFE</w:t>
      </w:r>
      <w:r w:rsidR="000D39D2">
        <w:rPr>
          <w:rFonts w:ascii="Arial" w:hAnsi="Arial" w:cs="Arial"/>
        </w:rPr>
        <w:t xml:space="preserve"> </w:t>
      </w:r>
      <w:r w:rsidR="000D39D2" w:rsidRPr="000D39D2">
        <w:rPr>
          <w:rFonts w:ascii="Arial" w:hAnsi="Arial" w:cs="Arial"/>
        </w:rPr>
        <w:t>have published the early years rates and operational guidance for 2023</w:t>
      </w:r>
      <w:r w:rsidR="000D39D2">
        <w:rPr>
          <w:rFonts w:ascii="Arial" w:hAnsi="Arial" w:cs="Arial"/>
        </w:rPr>
        <w:t>-</w:t>
      </w:r>
      <w:r w:rsidR="000D39D2" w:rsidRPr="000D39D2">
        <w:rPr>
          <w:rFonts w:ascii="Arial" w:hAnsi="Arial" w:cs="Arial"/>
        </w:rPr>
        <w:t xml:space="preserve">24. The </w:t>
      </w:r>
      <w:r w:rsidR="000D39D2">
        <w:rPr>
          <w:rFonts w:ascii="Arial" w:hAnsi="Arial" w:cs="Arial"/>
        </w:rPr>
        <w:t>E</w:t>
      </w:r>
      <w:r w:rsidR="000D39D2" w:rsidRPr="000D39D2">
        <w:rPr>
          <w:rFonts w:ascii="Arial" w:hAnsi="Arial" w:cs="Arial"/>
        </w:rPr>
        <w:t xml:space="preserve">arly </w:t>
      </w:r>
      <w:r w:rsidR="000D39D2">
        <w:rPr>
          <w:rFonts w:ascii="Arial" w:hAnsi="Arial" w:cs="Arial"/>
        </w:rPr>
        <w:t>Y</w:t>
      </w:r>
      <w:r w:rsidR="000D39D2" w:rsidRPr="000D39D2">
        <w:rPr>
          <w:rFonts w:ascii="Arial" w:hAnsi="Arial" w:cs="Arial"/>
        </w:rPr>
        <w:t>ears block will receive a further £20m on top of the £180m of additional funding in 2023</w:t>
      </w:r>
      <w:r w:rsidR="000D39D2">
        <w:rPr>
          <w:rFonts w:ascii="Arial" w:hAnsi="Arial" w:cs="Arial"/>
        </w:rPr>
        <w:t>-</w:t>
      </w:r>
      <w:r w:rsidR="000D39D2" w:rsidRPr="000D39D2">
        <w:rPr>
          <w:rFonts w:ascii="Arial" w:hAnsi="Arial" w:cs="Arial"/>
        </w:rPr>
        <w:t>24 compared to 2021</w:t>
      </w:r>
      <w:r w:rsidR="000D39D2">
        <w:rPr>
          <w:rFonts w:ascii="Arial" w:hAnsi="Arial" w:cs="Arial"/>
        </w:rPr>
        <w:t>-</w:t>
      </w:r>
      <w:r w:rsidR="000D39D2" w:rsidRPr="000D39D2">
        <w:rPr>
          <w:rFonts w:ascii="Arial" w:hAnsi="Arial" w:cs="Arial"/>
        </w:rPr>
        <w:t>22 announced at the Spending Review. Local authorities will receive average funding increases of 3.4% for the 3 and 4-year-old free childcare entitlements and 4% for the 2-year-old entitlement</w:t>
      </w:r>
      <w:r w:rsidR="004E5CAF">
        <w:rPr>
          <w:rFonts w:ascii="Arial" w:hAnsi="Arial" w:cs="Arial"/>
        </w:rPr>
        <w:t>.</w:t>
      </w:r>
    </w:p>
    <w:p w14:paraId="12D70370" w14:textId="311EB424" w:rsidR="001062D1" w:rsidRPr="000D39D2" w:rsidRDefault="001062D1" w:rsidP="00901244">
      <w:pPr>
        <w:rPr>
          <w:rFonts w:ascii="Arial" w:hAnsi="Arial" w:cs="Arial"/>
        </w:rPr>
      </w:pPr>
    </w:p>
    <w:p w14:paraId="2C76D7B2" w14:textId="1E5A8CC4" w:rsidR="00297AFB" w:rsidRPr="00F869FA" w:rsidRDefault="005E4D5A" w:rsidP="00901244">
      <w:pPr>
        <w:rPr>
          <w:rFonts w:ascii="Arial" w:hAnsi="Arial" w:cs="Arial"/>
          <w:color w:val="0B0C0C"/>
          <w:highlight w:val="yellow"/>
          <w:shd w:val="clear" w:color="auto" w:fill="FFFFFF"/>
        </w:rPr>
      </w:pPr>
      <w:r w:rsidRPr="00F869FA">
        <w:rPr>
          <w:rFonts w:ascii="Arial" w:hAnsi="Arial" w:cs="Arial"/>
          <w:color w:val="0B0C0C"/>
          <w:highlight w:val="yellow"/>
          <w:shd w:val="clear" w:color="auto" w:fill="FFFFFF"/>
        </w:rPr>
        <w:br/>
      </w:r>
    </w:p>
    <w:p w14:paraId="674BE881" w14:textId="771FF0A4" w:rsidR="006B5A8C" w:rsidRPr="002517C1" w:rsidRDefault="00D94A7E" w:rsidP="00D94A7E">
      <w:pPr>
        <w:rPr>
          <w:rFonts w:ascii="Arial" w:hAnsi="Arial" w:cs="Arial"/>
          <w:b/>
          <w:bCs/>
        </w:rPr>
      </w:pPr>
      <w:r w:rsidRPr="002517C1">
        <w:rPr>
          <w:rFonts w:ascii="Arial" w:hAnsi="Arial" w:cs="Arial"/>
          <w:b/>
          <w:bCs/>
        </w:rPr>
        <w:t>2.2</w:t>
      </w:r>
      <w:r w:rsidRPr="002517C1">
        <w:rPr>
          <w:rFonts w:ascii="Arial" w:hAnsi="Arial" w:cs="Arial"/>
          <w:b/>
          <w:bCs/>
        </w:rPr>
        <w:tab/>
      </w:r>
      <w:r w:rsidR="006B5A8C" w:rsidRPr="002517C1">
        <w:rPr>
          <w:rFonts w:ascii="Arial" w:hAnsi="Arial" w:cs="Arial"/>
          <w:b/>
          <w:bCs/>
        </w:rPr>
        <w:t>DSG - Changes Between Years (by Funding Block)</w:t>
      </w:r>
    </w:p>
    <w:p w14:paraId="662378B9" w14:textId="77777777" w:rsidR="006B5A8C" w:rsidRPr="002517C1" w:rsidRDefault="006B5A8C" w:rsidP="006B5A8C">
      <w:pPr>
        <w:rPr>
          <w:rFonts w:ascii="Arial" w:hAnsi="Arial" w:cs="Arial"/>
        </w:rPr>
      </w:pPr>
    </w:p>
    <w:p w14:paraId="79DB4591" w14:textId="77777777" w:rsidR="006B5A8C" w:rsidRPr="002517C1" w:rsidRDefault="006B5A8C" w:rsidP="006B5A8C">
      <w:pPr>
        <w:rPr>
          <w:rFonts w:ascii="Arial" w:hAnsi="Arial" w:cs="Arial"/>
          <w:lang w:eastAsia="en-GB"/>
        </w:rPr>
      </w:pPr>
      <w:r w:rsidRPr="002517C1">
        <w:rPr>
          <w:rFonts w:ascii="Arial" w:hAnsi="Arial" w:cs="Arial"/>
        </w:rPr>
        <w:t>The overall difference in the DSG allocation from the prior year funding is set out in the table overleaf:</w:t>
      </w:r>
    </w:p>
    <w:p w14:paraId="6C08CF3F" w14:textId="77777777" w:rsidR="006B5A8C" w:rsidRPr="00F869FA" w:rsidRDefault="006B5A8C" w:rsidP="006B5A8C">
      <w:pPr>
        <w:rPr>
          <w:rFonts w:ascii="Arial" w:hAnsi="Arial" w:cs="Arial"/>
          <w:highlight w:val="yellow"/>
        </w:rPr>
      </w:pPr>
    </w:p>
    <w:p w14:paraId="2903A298" w14:textId="77777777" w:rsidR="006B5A8C" w:rsidRPr="00F869FA" w:rsidRDefault="006B5A8C" w:rsidP="006B5A8C">
      <w:pPr>
        <w:rPr>
          <w:rFonts w:ascii="Arial" w:hAnsi="Arial" w:cs="Arial"/>
          <w:highlight w:val="yellow"/>
        </w:rPr>
        <w:sectPr w:rsidR="006B5A8C" w:rsidRPr="00F869FA">
          <w:pgSz w:w="11906" w:h="16838"/>
          <w:pgMar w:top="1440" w:right="1440" w:bottom="1440" w:left="1440" w:header="708" w:footer="708" w:gutter="0"/>
          <w:cols w:space="708"/>
          <w:docGrid w:linePitch="360"/>
        </w:sectPr>
      </w:pPr>
    </w:p>
    <w:p w14:paraId="0B815AB1" w14:textId="77777777" w:rsidR="006B5A8C" w:rsidRPr="00F869FA" w:rsidRDefault="006B5A8C" w:rsidP="006B5A8C">
      <w:pPr>
        <w:rPr>
          <w:rFonts w:ascii="Arial" w:hAnsi="Arial" w:cs="Arial"/>
          <w:highlight w:val="yellow"/>
        </w:rPr>
      </w:pPr>
    </w:p>
    <w:tbl>
      <w:tblPr>
        <w:tblStyle w:val="TableGrid"/>
        <w:tblW w:w="14195" w:type="dxa"/>
        <w:tblLayout w:type="fixed"/>
        <w:tblLook w:val="01E0" w:firstRow="1" w:lastRow="1" w:firstColumn="1" w:lastColumn="1" w:noHBand="0" w:noVBand="0"/>
      </w:tblPr>
      <w:tblGrid>
        <w:gridCol w:w="3910"/>
        <w:gridCol w:w="1323"/>
        <w:gridCol w:w="1323"/>
        <w:gridCol w:w="1323"/>
        <w:gridCol w:w="6316"/>
      </w:tblGrid>
      <w:tr w:rsidR="006B5A8C" w:rsidRPr="00F869FA" w14:paraId="59DF48AF" w14:textId="77777777" w:rsidTr="00BC6865">
        <w:trPr>
          <w:trHeight w:val="330"/>
        </w:trPr>
        <w:tc>
          <w:tcPr>
            <w:tcW w:w="3910" w:type="dxa"/>
            <w:hideMark/>
          </w:tcPr>
          <w:p w14:paraId="7C80F7FD" w14:textId="77777777" w:rsidR="006B5A8C" w:rsidRPr="002517C1" w:rsidRDefault="006B5A8C" w:rsidP="009157CF">
            <w:pPr>
              <w:spacing w:afterLines="20" w:after="48"/>
              <w:jc w:val="center"/>
              <w:rPr>
                <w:rFonts w:ascii="Arial" w:hAnsi="Arial" w:cs="Arial"/>
                <w:b/>
              </w:rPr>
            </w:pPr>
            <w:r w:rsidRPr="002517C1">
              <w:rPr>
                <w:rFonts w:ascii="Arial" w:hAnsi="Arial" w:cs="Arial"/>
                <w:b/>
              </w:rPr>
              <w:t>Funding element</w:t>
            </w:r>
          </w:p>
        </w:tc>
        <w:tc>
          <w:tcPr>
            <w:tcW w:w="1323" w:type="dxa"/>
            <w:hideMark/>
          </w:tcPr>
          <w:p w14:paraId="7AB68DE2" w14:textId="420115BA" w:rsidR="006B5A8C" w:rsidRPr="001212D4" w:rsidRDefault="00A4319F" w:rsidP="009157CF">
            <w:pPr>
              <w:spacing w:afterLines="20" w:after="48"/>
              <w:jc w:val="center"/>
              <w:rPr>
                <w:rFonts w:ascii="Arial" w:hAnsi="Arial" w:cs="Arial"/>
                <w:b/>
              </w:rPr>
            </w:pPr>
            <w:r w:rsidRPr="001212D4">
              <w:rPr>
                <w:rFonts w:ascii="Arial" w:hAnsi="Arial" w:cs="Arial"/>
                <w:b/>
              </w:rPr>
              <w:t>202</w:t>
            </w:r>
            <w:r w:rsidR="00092A05" w:rsidRPr="001212D4">
              <w:rPr>
                <w:rFonts w:ascii="Arial" w:hAnsi="Arial" w:cs="Arial"/>
                <w:b/>
              </w:rPr>
              <w:t>3</w:t>
            </w:r>
            <w:r w:rsidRPr="001212D4">
              <w:rPr>
                <w:rFonts w:ascii="Arial" w:hAnsi="Arial" w:cs="Arial"/>
                <w:b/>
              </w:rPr>
              <w:t>-2</w:t>
            </w:r>
            <w:r w:rsidR="00092A05" w:rsidRPr="001212D4">
              <w:rPr>
                <w:rFonts w:ascii="Arial" w:hAnsi="Arial" w:cs="Arial"/>
                <w:b/>
              </w:rPr>
              <w:t>4</w:t>
            </w:r>
            <w:r w:rsidR="006B5A8C" w:rsidRPr="001212D4">
              <w:rPr>
                <w:rFonts w:ascii="Arial" w:hAnsi="Arial" w:cs="Arial"/>
                <w:b/>
              </w:rPr>
              <w:t>*</w:t>
            </w:r>
          </w:p>
          <w:p w14:paraId="486E035F" w14:textId="77777777" w:rsidR="006B5A8C" w:rsidRPr="001212D4" w:rsidRDefault="006B5A8C" w:rsidP="009157CF">
            <w:pPr>
              <w:spacing w:afterLines="20" w:after="48"/>
              <w:jc w:val="center"/>
              <w:rPr>
                <w:rFonts w:ascii="Arial" w:hAnsi="Arial" w:cs="Arial"/>
                <w:b/>
              </w:rPr>
            </w:pPr>
            <w:r w:rsidRPr="001212D4">
              <w:rPr>
                <w:rFonts w:ascii="Arial" w:hAnsi="Arial" w:cs="Arial"/>
                <w:b/>
              </w:rPr>
              <w:t>(£m)</w:t>
            </w:r>
          </w:p>
        </w:tc>
        <w:tc>
          <w:tcPr>
            <w:tcW w:w="1323" w:type="dxa"/>
            <w:hideMark/>
          </w:tcPr>
          <w:p w14:paraId="3F843F7C" w14:textId="26A54A9C" w:rsidR="006B5A8C" w:rsidRPr="001212D4" w:rsidRDefault="006B5A8C" w:rsidP="009157CF">
            <w:pPr>
              <w:spacing w:afterLines="20" w:after="48"/>
              <w:jc w:val="center"/>
              <w:rPr>
                <w:rFonts w:ascii="Arial" w:hAnsi="Arial" w:cs="Arial"/>
                <w:b/>
              </w:rPr>
            </w:pPr>
            <w:r w:rsidRPr="001212D4">
              <w:rPr>
                <w:rFonts w:ascii="Arial" w:hAnsi="Arial" w:cs="Arial"/>
                <w:b/>
              </w:rPr>
              <w:t>202</w:t>
            </w:r>
            <w:r w:rsidR="001212D4" w:rsidRPr="001212D4">
              <w:rPr>
                <w:rFonts w:ascii="Arial" w:hAnsi="Arial" w:cs="Arial"/>
                <w:b/>
              </w:rPr>
              <w:t>2</w:t>
            </w:r>
            <w:r w:rsidRPr="001212D4">
              <w:rPr>
                <w:rFonts w:ascii="Arial" w:hAnsi="Arial" w:cs="Arial"/>
                <w:b/>
              </w:rPr>
              <w:t>/2</w:t>
            </w:r>
            <w:r w:rsidR="001212D4" w:rsidRPr="001212D4">
              <w:rPr>
                <w:rFonts w:ascii="Arial" w:hAnsi="Arial" w:cs="Arial"/>
                <w:b/>
              </w:rPr>
              <w:t>3</w:t>
            </w:r>
            <w:r w:rsidRPr="001212D4">
              <w:rPr>
                <w:rFonts w:ascii="Arial" w:hAnsi="Arial" w:cs="Arial"/>
                <w:b/>
              </w:rPr>
              <w:t>**</w:t>
            </w:r>
          </w:p>
          <w:p w14:paraId="4F844812" w14:textId="77777777" w:rsidR="006B5A8C" w:rsidRPr="001212D4" w:rsidRDefault="006B5A8C" w:rsidP="009157CF">
            <w:pPr>
              <w:spacing w:afterLines="20" w:after="48"/>
              <w:jc w:val="center"/>
              <w:rPr>
                <w:rFonts w:ascii="Arial" w:hAnsi="Arial" w:cs="Arial"/>
                <w:b/>
              </w:rPr>
            </w:pPr>
            <w:r w:rsidRPr="001212D4">
              <w:rPr>
                <w:rFonts w:ascii="Arial" w:hAnsi="Arial" w:cs="Arial"/>
                <w:b/>
              </w:rPr>
              <w:t>(£m)</w:t>
            </w:r>
          </w:p>
        </w:tc>
        <w:tc>
          <w:tcPr>
            <w:tcW w:w="1323" w:type="dxa"/>
            <w:hideMark/>
          </w:tcPr>
          <w:p w14:paraId="20CDB415" w14:textId="77777777" w:rsidR="006B5A8C" w:rsidRPr="001212D4" w:rsidRDefault="006B5A8C" w:rsidP="009157CF">
            <w:pPr>
              <w:spacing w:afterLines="20" w:after="48"/>
              <w:jc w:val="center"/>
              <w:rPr>
                <w:rFonts w:ascii="Arial" w:hAnsi="Arial" w:cs="Arial"/>
                <w:b/>
              </w:rPr>
            </w:pPr>
            <w:r w:rsidRPr="001212D4">
              <w:rPr>
                <w:rFonts w:ascii="Arial" w:hAnsi="Arial" w:cs="Arial"/>
                <w:b/>
              </w:rPr>
              <w:t xml:space="preserve">Change </w:t>
            </w:r>
          </w:p>
          <w:p w14:paraId="0E823F6E" w14:textId="77777777" w:rsidR="006B5A8C" w:rsidRPr="001212D4" w:rsidRDefault="006B5A8C" w:rsidP="009157CF">
            <w:pPr>
              <w:spacing w:afterLines="20" w:after="48"/>
              <w:jc w:val="center"/>
              <w:rPr>
                <w:rFonts w:ascii="Arial" w:hAnsi="Arial" w:cs="Arial"/>
                <w:b/>
              </w:rPr>
            </w:pPr>
            <w:r w:rsidRPr="001212D4">
              <w:rPr>
                <w:rFonts w:ascii="Arial" w:hAnsi="Arial" w:cs="Arial"/>
                <w:b/>
              </w:rPr>
              <w:t>(£m)</w:t>
            </w:r>
          </w:p>
        </w:tc>
        <w:tc>
          <w:tcPr>
            <w:tcW w:w="6316" w:type="dxa"/>
            <w:hideMark/>
          </w:tcPr>
          <w:p w14:paraId="35C82279" w14:textId="77777777" w:rsidR="006B5A8C" w:rsidRPr="001212D4" w:rsidRDefault="006B5A8C" w:rsidP="009157CF">
            <w:pPr>
              <w:spacing w:afterLines="20" w:after="48"/>
              <w:jc w:val="center"/>
              <w:rPr>
                <w:rFonts w:ascii="Arial" w:hAnsi="Arial" w:cs="Arial"/>
                <w:b/>
              </w:rPr>
            </w:pPr>
            <w:r w:rsidRPr="001212D4">
              <w:rPr>
                <w:rFonts w:ascii="Arial" w:hAnsi="Arial" w:cs="Arial"/>
                <w:b/>
              </w:rPr>
              <w:t>Explanation for change</w:t>
            </w:r>
          </w:p>
        </w:tc>
      </w:tr>
      <w:tr w:rsidR="006B5A8C" w:rsidRPr="00F869FA" w14:paraId="6824CE23" w14:textId="77777777" w:rsidTr="00BC6865">
        <w:trPr>
          <w:trHeight w:val="309"/>
        </w:trPr>
        <w:tc>
          <w:tcPr>
            <w:tcW w:w="3910" w:type="dxa"/>
          </w:tcPr>
          <w:p w14:paraId="65F43B69" w14:textId="77777777" w:rsidR="006B5A8C" w:rsidRPr="002517C1" w:rsidRDefault="006B5A8C" w:rsidP="009157CF">
            <w:pPr>
              <w:spacing w:afterLines="20" w:after="48"/>
              <w:rPr>
                <w:rFonts w:ascii="Arial" w:hAnsi="Arial" w:cs="Arial"/>
                <w:b/>
              </w:rPr>
            </w:pPr>
            <w:r w:rsidRPr="002517C1">
              <w:rPr>
                <w:rFonts w:ascii="Arial" w:hAnsi="Arial" w:cs="Arial"/>
                <w:b/>
              </w:rPr>
              <w:t>Early Years Block</w:t>
            </w:r>
          </w:p>
        </w:tc>
        <w:tc>
          <w:tcPr>
            <w:tcW w:w="1323" w:type="dxa"/>
          </w:tcPr>
          <w:p w14:paraId="6598232D" w14:textId="77777777" w:rsidR="006B5A8C" w:rsidRPr="00F869FA" w:rsidRDefault="006B5A8C" w:rsidP="009157CF">
            <w:pPr>
              <w:spacing w:afterLines="20" w:after="48"/>
              <w:jc w:val="right"/>
              <w:rPr>
                <w:rFonts w:ascii="Arial" w:hAnsi="Arial" w:cs="Arial"/>
                <w:highlight w:val="yellow"/>
              </w:rPr>
            </w:pPr>
          </w:p>
        </w:tc>
        <w:tc>
          <w:tcPr>
            <w:tcW w:w="1323" w:type="dxa"/>
          </w:tcPr>
          <w:p w14:paraId="188A751A" w14:textId="77777777" w:rsidR="006B5A8C" w:rsidRPr="00F869FA" w:rsidRDefault="006B5A8C" w:rsidP="009157CF">
            <w:pPr>
              <w:spacing w:afterLines="20" w:after="48"/>
              <w:jc w:val="right"/>
              <w:rPr>
                <w:rFonts w:ascii="Arial" w:hAnsi="Arial" w:cs="Arial"/>
                <w:highlight w:val="yellow"/>
              </w:rPr>
            </w:pPr>
          </w:p>
        </w:tc>
        <w:tc>
          <w:tcPr>
            <w:tcW w:w="1323" w:type="dxa"/>
          </w:tcPr>
          <w:p w14:paraId="12BB34AC" w14:textId="77777777" w:rsidR="006B5A8C" w:rsidRPr="00F869FA" w:rsidRDefault="006B5A8C" w:rsidP="009157CF">
            <w:pPr>
              <w:spacing w:afterLines="20" w:after="48"/>
              <w:jc w:val="right"/>
              <w:rPr>
                <w:rFonts w:ascii="Arial" w:hAnsi="Arial" w:cs="Arial"/>
                <w:highlight w:val="yellow"/>
              </w:rPr>
            </w:pPr>
          </w:p>
        </w:tc>
        <w:tc>
          <w:tcPr>
            <w:tcW w:w="6316" w:type="dxa"/>
          </w:tcPr>
          <w:p w14:paraId="32E0763D" w14:textId="77777777" w:rsidR="006B5A8C" w:rsidRPr="00F869FA" w:rsidRDefault="006B5A8C" w:rsidP="009157CF">
            <w:pPr>
              <w:spacing w:afterLines="20" w:after="48"/>
              <w:rPr>
                <w:rFonts w:ascii="Arial" w:hAnsi="Arial" w:cs="Arial"/>
                <w:highlight w:val="yellow"/>
              </w:rPr>
            </w:pPr>
          </w:p>
        </w:tc>
      </w:tr>
      <w:tr w:rsidR="006B5A8C" w:rsidRPr="00F869FA" w14:paraId="242DA7AC" w14:textId="77777777" w:rsidTr="00BC6865">
        <w:trPr>
          <w:trHeight w:val="309"/>
        </w:trPr>
        <w:tc>
          <w:tcPr>
            <w:tcW w:w="3910" w:type="dxa"/>
            <w:hideMark/>
          </w:tcPr>
          <w:p w14:paraId="6704F598" w14:textId="77777777" w:rsidR="006B5A8C" w:rsidRPr="002517C1" w:rsidRDefault="006B5A8C" w:rsidP="009157CF">
            <w:pPr>
              <w:spacing w:afterLines="20" w:after="48"/>
              <w:rPr>
                <w:rFonts w:ascii="Arial" w:hAnsi="Arial" w:cs="Arial"/>
              </w:rPr>
            </w:pPr>
            <w:r w:rsidRPr="002517C1">
              <w:rPr>
                <w:rFonts w:ascii="Arial" w:hAnsi="Arial" w:cs="Arial"/>
              </w:rPr>
              <w:t>Early Years 3- &amp; 4-year-olds: 15 hours universal entitlement</w:t>
            </w:r>
          </w:p>
        </w:tc>
        <w:tc>
          <w:tcPr>
            <w:tcW w:w="1323" w:type="dxa"/>
          </w:tcPr>
          <w:p w14:paraId="444EC31A" w14:textId="73F36901" w:rsidR="006B5A8C" w:rsidRPr="002332DB" w:rsidRDefault="00092A05" w:rsidP="002332DB">
            <w:pPr>
              <w:spacing w:afterLines="20" w:after="48"/>
              <w:jc w:val="right"/>
              <w:rPr>
                <w:rFonts w:ascii="Arial" w:hAnsi="Arial" w:cs="Arial"/>
              </w:rPr>
            </w:pPr>
            <w:r w:rsidRPr="002332DB">
              <w:rPr>
                <w:rFonts w:ascii="Arial" w:hAnsi="Arial" w:cs="Arial"/>
              </w:rPr>
              <w:t>30.183</w:t>
            </w:r>
          </w:p>
        </w:tc>
        <w:tc>
          <w:tcPr>
            <w:tcW w:w="1323" w:type="dxa"/>
          </w:tcPr>
          <w:p w14:paraId="1C9F9217" w14:textId="51E1E44F" w:rsidR="006B5A8C" w:rsidRPr="00F869FA" w:rsidRDefault="006B5A8C" w:rsidP="009157CF">
            <w:pPr>
              <w:spacing w:afterLines="20" w:after="48"/>
              <w:jc w:val="right"/>
              <w:rPr>
                <w:rFonts w:ascii="Arial" w:hAnsi="Arial" w:cs="Arial"/>
                <w:highlight w:val="yellow"/>
              </w:rPr>
            </w:pPr>
            <w:r w:rsidRPr="00144F01">
              <w:rPr>
                <w:rFonts w:ascii="Arial" w:hAnsi="Arial" w:cs="Arial"/>
              </w:rPr>
              <w:t>28.</w:t>
            </w:r>
            <w:r w:rsidR="00144F01" w:rsidRPr="00144F01">
              <w:rPr>
                <w:rFonts w:ascii="Arial" w:hAnsi="Arial" w:cs="Arial"/>
              </w:rPr>
              <w:t>397</w:t>
            </w:r>
          </w:p>
        </w:tc>
        <w:tc>
          <w:tcPr>
            <w:tcW w:w="1323" w:type="dxa"/>
          </w:tcPr>
          <w:p w14:paraId="30B4476F" w14:textId="79C40440" w:rsidR="006B5A8C" w:rsidRPr="00F869FA" w:rsidRDefault="00BF2FE4" w:rsidP="009157CF">
            <w:pPr>
              <w:spacing w:afterLines="20" w:after="48"/>
              <w:jc w:val="right"/>
              <w:rPr>
                <w:rFonts w:ascii="Arial" w:hAnsi="Arial" w:cs="Arial"/>
                <w:highlight w:val="yellow"/>
              </w:rPr>
            </w:pPr>
            <w:r w:rsidRPr="00BF2FE4">
              <w:rPr>
                <w:rFonts w:ascii="Arial" w:hAnsi="Arial" w:cs="Arial"/>
              </w:rPr>
              <w:t>1.786</w:t>
            </w:r>
          </w:p>
        </w:tc>
        <w:tc>
          <w:tcPr>
            <w:tcW w:w="6316" w:type="dxa"/>
          </w:tcPr>
          <w:p w14:paraId="0F254751" w14:textId="08CAD17E"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in hourly rate from £4.61 to £4.90 including £0.06 per hour for TPG/TPECG</w:t>
            </w:r>
            <w:r>
              <w:rPr>
                <w:rStyle w:val="eop"/>
                <w:rFonts w:ascii="Arial" w:hAnsi="Arial" w:cs="Arial"/>
                <w:sz w:val="22"/>
                <w:szCs w:val="22"/>
              </w:rPr>
              <w:t> </w:t>
            </w:r>
          </w:p>
        </w:tc>
      </w:tr>
      <w:tr w:rsidR="006B5A8C" w:rsidRPr="00F869FA" w14:paraId="7E1453B2" w14:textId="77777777" w:rsidTr="00BC6865">
        <w:trPr>
          <w:trHeight w:val="309"/>
        </w:trPr>
        <w:tc>
          <w:tcPr>
            <w:tcW w:w="3910" w:type="dxa"/>
          </w:tcPr>
          <w:p w14:paraId="068642A3" w14:textId="77777777" w:rsidR="006B5A8C" w:rsidRPr="002517C1" w:rsidRDefault="006B5A8C" w:rsidP="009157CF">
            <w:pPr>
              <w:spacing w:afterLines="20" w:after="48"/>
              <w:rPr>
                <w:rFonts w:ascii="Arial" w:hAnsi="Arial" w:cs="Arial"/>
              </w:rPr>
            </w:pPr>
            <w:r w:rsidRPr="002517C1">
              <w:rPr>
                <w:rFonts w:ascii="Arial" w:hAnsi="Arial" w:cs="Arial"/>
              </w:rPr>
              <w:t>Early Years 3- &amp; 4-year-olds: 30 hours for working parents</w:t>
            </w:r>
          </w:p>
        </w:tc>
        <w:tc>
          <w:tcPr>
            <w:tcW w:w="1323" w:type="dxa"/>
          </w:tcPr>
          <w:p w14:paraId="67B70FD3" w14:textId="5F49EAD3" w:rsidR="006B5A8C" w:rsidRPr="002332DB" w:rsidRDefault="002332DB" w:rsidP="002332DB">
            <w:pPr>
              <w:spacing w:afterLines="20" w:after="48"/>
              <w:jc w:val="right"/>
              <w:rPr>
                <w:rFonts w:ascii="Arial" w:hAnsi="Arial" w:cs="Arial"/>
              </w:rPr>
            </w:pPr>
            <w:r w:rsidRPr="002332DB">
              <w:rPr>
                <w:rFonts w:ascii="Arial" w:hAnsi="Arial" w:cs="Arial"/>
              </w:rPr>
              <w:t>10.863</w:t>
            </w:r>
          </w:p>
        </w:tc>
        <w:tc>
          <w:tcPr>
            <w:tcW w:w="1323" w:type="dxa"/>
          </w:tcPr>
          <w:p w14:paraId="74E6FCB9" w14:textId="4E7FA0D1" w:rsidR="006B5A8C" w:rsidRPr="00F869FA" w:rsidRDefault="00144F01" w:rsidP="009157CF">
            <w:pPr>
              <w:spacing w:afterLines="20" w:after="48"/>
              <w:jc w:val="right"/>
              <w:rPr>
                <w:rFonts w:ascii="Arial" w:hAnsi="Arial" w:cs="Arial"/>
                <w:highlight w:val="yellow"/>
              </w:rPr>
            </w:pPr>
            <w:r w:rsidRPr="00144F01">
              <w:rPr>
                <w:rFonts w:ascii="Arial" w:hAnsi="Arial" w:cs="Arial"/>
              </w:rPr>
              <w:t>10.220</w:t>
            </w:r>
          </w:p>
        </w:tc>
        <w:tc>
          <w:tcPr>
            <w:tcW w:w="1323" w:type="dxa"/>
          </w:tcPr>
          <w:p w14:paraId="5C7A34B3" w14:textId="09004280" w:rsidR="006B5A8C" w:rsidRPr="00F869FA" w:rsidRDefault="008C1A8E" w:rsidP="009157CF">
            <w:pPr>
              <w:spacing w:afterLines="20" w:after="48"/>
              <w:jc w:val="right"/>
              <w:rPr>
                <w:rFonts w:ascii="Arial" w:hAnsi="Arial" w:cs="Arial"/>
                <w:highlight w:val="yellow"/>
              </w:rPr>
            </w:pPr>
            <w:r w:rsidRPr="008C1A8E">
              <w:rPr>
                <w:rFonts w:ascii="Arial" w:hAnsi="Arial" w:cs="Arial"/>
              </w:rPr>
              <w:t>0.643</w:t>
            </w:r>
          </w:p>
        </w:tc>
        <w:tc>
          <w:tcPr>
            <w:tcW w:w="6316" w:type="dxa"/>
          </w:tcPr>
          <w:p w14:paraId="57449BA8" w14:textId="67D38355"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in hourly rate from £4.61 to £4.90 including £0.06 per hour for TPG/TPECG</w:t>
            </w:r>
            <w:r>
              <w:rPr>
                <w:rStyle w:val="eop"/>
                <w:rFonts w:ascii="Arial" w:hAnsi="Arial" w:cs="Arial"/>
                <w:sz w:val="22"/>
                <w:szCs w:val="22"/>
              </w:rPr>
              <w:t> </w:t>
            </w:r>
          </w:p>
        </w:tc>
      </w:tr>
      <w:tr w:rsidR="006B5A8C" w:rsidRPr="00F869FA" w14:paraId="6B02FE30" w14:textId="77777777" w:rsidTr="00BC6865">
        <w:trPr>
          <w:trHeight w:val="68"/>
        </w:trPr>
        <w:tc>
          <w:tcPr>
            <w:tcW w:w="3910" w:type="dxa"/>
          </w:tcPr>
          <w:p w14:paraId="6CDBC16E" w14:textId="77777777" w:rsidR="006B5A8C" w:rsidRPr="002517C1" w:rsidRDefault="006B5A8C" w:rsidP="009157CF">
            <w:pPr>
              <w:spacing w:afterLines="20" w:after="48"/>
              <w:rPr>
                <w:rFonts w:ascii="Arial" w:hAnsi="Arial" w:cs="Arial"/>
              </w:rPr>
            </w:pPr>
            <w:r w:rsidRPr="002517C1">
              <w:rPr>
                <w:rFonts w:ascii="Arial" w:hAnsi="Arial" w:cs="Arial"/>
              </w:rPr>
              <w:t>Early Years 2-year-olds: 15 hours, where eligible</w:t>
            </w:r>
          </w:p>
        </w:tc>
        <w:tc>
          <w:tcPr>
            <w:tcW w:w="1323" w:type="dxa"/>
          </w:tcPr>
          <w:p w14:paraId="45989D36" w14:textId="0F2E061A" w:rsidR="006B5A8C" w:rsidRPr="002332DB" w:rsidRDefault="006B5A8C" w:rsidP="009157CF">
            <w:pPr>
              <w:spacing w:afterLines="20" w:after="48"/>
              <w:jc w:val="right"/>
              <w:rPr>
                <w:rFonts w:ascii="Arial" w:hAnsi="Arial" w:cs="Arial"/>
              </w:rPr>
            </w:pPr>
            <w:r w:rsidRPr="002332DB">
              <w:rPr>
                <w:rFonts w:ascii="Arial" w:hAnsi="Arial" w:cs="Arial"/>
              </w:rPr>
              <w:t>4.</w:t>
            </w:r>
            <w:r w:rsidR="002332DB" w:rsidRPr="002332DB">
              <w:rPr>
                <w:rFonts w:ascii="Arial" w:hAnsi="Arial" w:cs="Arial"/>
              </w:rPr>
              <w:t>993</w:t>
            </w:r>
          </w:p>
        </w:tc>
        <w:tc>
          <w:tcPr>
            <w:tcW w:w="1323" w:type="dxa"/>
          </w:tcPr>
          <w:p w14:paraId="0AD3EB06" w14:textId="7D9C9481" w:rsidR="006B5A8C" w:rsidRPr="00F869FA" w:rsidRDefault="006B5A8C" w:rsidP="009157CF">
            <w:pPr>
              <w:spacing w:afterLines="20" w:after="48"/>
              <w:jc w:val="right"/>
              <w:rPr>
                <w:rFonts w:ascii="Arial" w:hAnsi="Arial" w:cs="Arial"/>
                <w:highlight w:val="yellow"/>
              </w:rPr>
            </w:pPr>
            <w:r w:rsidRPr="00A2588D">
              <w:rPr>
                <w:rFonts w:ascii="Arial" w:hAnsi="Arial" w:cs="Arial"/>
              </w:rPr>
              <w:t>4.</w:t>
            </w:r>
            <w:r w:rsidR="00A2588D" w:rsidRPr="00A2588D">
              <w:rPr>
                <w:rFonts w:ascii="Arial" w:hAnsi="Arial" w:cs="Arial"/>
              </w:rPr>
              <w:t>870</w:t>
            </w:r>
          </w:p>
        </w:tc>
        <w:tc>
          <w:tcPr>
            <w:tcW w:w="1323" w:type="dxa"/>
          </w:tcPr>
          <w:p w14:paraId="7EEC06D0" w14:textId="1B2A6EF7" w:rsidR="006B5A8C" w:rsidRPr="00F869FA" w:rsidRDefault="008C1A8E" w:rsidP="009157CF">
            <w:pPr>
              <w:spacing w:afterLines="20" w:after="48"/>
              <w:jc w:val="right"/>
              <w:rPr>
                <w:rFonts w:ascii="Arial" w:hAnsi="Arial" w:cs="Arial"/>
                <w:highlight w:val="yellow"/>
              </w:rPr>
            </w:pPr>
            <w:r w:rsidRPr="008C1A8E">
              <w:rPr>
                <w:rFonts w:ascii="Arial" w:hAnsi="Arial" w:cs="Arial"/>
              </w:rPr>
              <w:t>0.123</w:t>
            </w:r>
          </w:p>
        </w:tc>
        <w:tc>
          <w:tcPr>
            <w:tcW w:w="6316" w:type="dxa"/>
          </w:tcPr>
          <w:p w14:paraId="3FCE5E43" w14:textId="3862510C"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in hourly rate from £5.57 to £5.71</w:t>
            </w:r>
            <w:r>
              <w:rPr>
                <w:rStyle w:val="eop"/>
                <w:rFonts w:ascii="Arial" w:hAnsi="Arial" w:cs="Arial"/>
                <w:sz w:val="22"/>
                <w:szCs w:val="22"/>
              </w:rPr>
              <w:t> </w:t>
            </w:r>
          </w:p>
        </w:tc>
      </w:tr>
      <w:tr w:rsidR="006B5A8C" w:rsidRPr="00F869FA" w14:paraId="2CE04CF8" w14:textId="77777777" w:rsidTr="00BC6865">
        <w:trPr>
          <w:trHeight w:val="309"/>
        </w:trPr>
        <w:tc>
          <w:tcPr>
            <w:tcW w:w="3910" w:type="dxa"/>
          </w:tcPr>
          <w:p w14:paraId="6CDE6D13" w14:textId="77777777" w:rsidR="006B5A8C" w:rsidRPr="006A2D3C" w:rsidRDefault="006B5A8C" w:rsidP="009157CF">
            <w:pPr>
              <w:spacing w:afterLines="20" w:after="48"/>
              <w:rPr>
                <w:rFonts w:ascii="Arial" w:hAnsi="Arial" w:cs="Arial"/>
              </w:rPr>
            </w:pPr>
            <w:r w:rsidRPr="006A2D3C">
              <w:rPr>
                <w:rFonts w:ascii="Arial" w:hAnsi="Arial" w:cs="Arial"/>
              </w:rPr>
              <w:t>Early Years Pupil Premium</w:t>
            </w:r>
          </w:p>
        </w:tc>
        <w:tc>
          <w:tcPr>
            <w:tcW w:w="1323" w:type="dxa"/>
          </w:tcPr>
          <w:p w14:paraId="2C0B52A3" w14:textId="5427C773" w:rsidR="006B5A8C" w:rsidRPr="006A2D3C" w:rsidRDefault="006B5A8C" w:rsidP="009157CF">
            <w:pPr>
              <w:spacing w:afterLines="20" w:after="48"/>
              <w:jc w:val="right"/>
              <w:rPr>
                <w:rFonts w:ascii="Arial" w:hAnsi="Arial" w:cs="Arial"/>
              </w:rPr>
            </w:pPr>
            <w:r w:rsidRPr="006A2D3C">
              <w:rPr>
                <w:rFonts w:ascii="Arial" w:hAnsi="Arial" w:cs="Arial"/>
              </w:rPr>
              <w:t>0.</w:t>
            </w:r>
            <w:r w:rsidR="006A2D3C" w:rsidRPr="006A2D3C">
              <w:rPr>
                <w:rFonts w:ascii="Arial" w:hAnsi="Arial" w:cs="Arial"/>
              </w:rPr>
              <w:t>631</w:t>
            </w:r>
          </w:p>
        </w:tc>
        <w:tc>
          <w:tcPr>
            <w:tcW w:w="1323" w:type="dxa"/>
          </w:tcPr>
          <w:p w14:paraId="496DFDDF" w14:textId="450CEACE" w:rsidR="006B5A8C" w:rsidRPr="00F869FA" w:rsidRDefault="006B5A8C" w:rsidP="009157CF">
            <w:pPr>
              <w:spacing w:afterLines="20" w:after="48"/>
              <w:jc w:val="right"/>
              <w:rPr>
                <w:rFonts w:ascii="Arial" w:hAnsi="Arial" w:cs="Arial"/>
                <w:highlight w:val="yellow"/>
              </w:rPr>
            </w:pPr>
            <w:r w:rsidRPr="00A2588D">
              <w:rPr>
                <w:rFonts w:ascii="Arial" w:hAnsi="Arial" w:cs="Arial"/>
              </w:rPr>
              <w:t>0.</w:t>
            </w:r>
            <w:r w:rsidR="00A2588D" w:rsidRPr="00A2588D">
              <w:rPr>
                <w:rFonts w:ascii="Arial" w:hAnsi="Arial" w:cs="Arial"/>
              </w:rPr>
              <w:t>611</w:t>
            </w:r>
          </w:p>
        </w:tc>
        <w:tc>
          <w:tcPr>
            <w:tcW w:w="1323" w:type="dxa"/>
          </w:tcPr>
          <w:p w14:paraId="1BB138DE" w14:textId="53FEF68A" w:rsidR="006B5A8C" w:rsidRPr="00F869FA" w:rsidRDefault="006B5A8C" w:rsidP="009157CF">
            <w:pPr>
              <w:spacing w:afterLines="20" w:after="48"/>
              <w:jc w:val="right"/>
              <w:rPr>
                <w:rFonts w:ascii="Arial" w:hAnsi="Arial" w:cs="Arial"/>
                <w:highlight w:val="yellow"/>
              </w:rPr>
            </w:pPr>
            <w:r w:rsidRPr="00456BC6">
              <w:rPr>
                <w:rFonts w:ascii="Arial" w:hAnsi="Arial" w:cs="Arial"/>
              </w:rPr>
              <w:t>0.0</w:t>
            </w:r>
            <w:r w:rsidR="00456BC6" w:rsidRPr="00456BC6">
              <w:rPr>
                <w:rFonts w:ascii="Arial" w:hAnsi="Arial" w:cs="Arial"/>
              </w:rPr>
              <w:t>20</w:t>
            </w:r>
          </w:p>
        </w:tc>
        <w:tc>
          <w:tcPr>
            <w:tcW w:w="6316" w:type="dxa"/>
          </w:tcPr>
          <w:p w14:paraId="78DF62DA" w14:textId="2ECC1094"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in rate from £0.60 to £0.62</w:t>
            </w:r>
            <w:r>
              <w:rPr>
                <w:rStyle w:val="eop"/>
                <w:rFonts w:ascii="Arial" w:hAnsi="Arial" w:cs="Arial"/>
                <w:sz w:val="22"/>
                <w:szCs w:val="22"/>
              </w:rPr>
              <w:t> </w:t>
            </w:r>
          </w:p>
        </w:tc>
      </w:tr>
      <w:tr w:rsidR="006B5A8C" w:rsidRPr="00F869FA" w14:paraId="1990E8B3" w14:textId="77777777" w:rsidTr="00BC6865">
        <w:trPr>
          <w:trHeight w:val="309"/>
        </w:trPr>
        <w:tc>
          <w:tcPr>
            <w:tcW w:w="3910" w:type="dxa"/>
          </w:tcPr>
          <w:p w14:paraId="33F57EAA" w14:textId="77777777" w:rsidR="006B5A8C" w:rsidRPr="002517C1" w:rsidRDefault="006B5A8C" w:rsidP="009157CF">
            <w:pPr>
              <w:spacing w:afterLines="20" w:after="48"/>
              <w:rPr>
                <w:rFonts w:ascii="Arial" w:hAnsi="Arial" w:cs="Arial"/>
              </w:rPr>
            </w:pPr>
            <w:r w:rsidRPr="002517C1">
              <w:rPr>
                <w:rFonts w:ascii="Arial" w:hAnsi="Arial" w:cs="Arial"/>
              </w:rPr>
              <w:t>Nursery Schools Supplement</w:t>
            </w:r>
          </w:p>
        </w:tc>
        <w:tc>
          <w:tcPr>
            <w:tcW w:w="1323" w:type="dxa"/>
          </w:tcPr>
          <w:p w14:paraId="6C091EEA" w14:textId="04F79E30" w:rsidR="006B5A8C" w:rsidRPr="00F869FA" w:rsidRDefault="006B5A8C" w:rsidP="009157CF">
            <w:pPr>
              <w:spacing w:afterLines="20" w:after="48"/>
              <w:jc w:val="right"/>
              <w:rPr>
                <w:rFonts w:ascii="Arial" w:hAnsi="Arial" w:cs="Arial"/>
                <w:highlight w:val="yellow"/>
              </w:rPr>
            </w:pPr>
            <w:r w:rsidRPr="00983172">
              <w:rPr>
                <w:rFonts w:ascii="Arial" w:hAnsi="Arial" w:cs="Arial"/>
              </w:rPr>
              <w:t>0.</w:t>
            </w:r>
            <w:r w:rsidR="00983172" w:rsidRPr="00983172">
              <w:rPr>
                <w:rFonts w:ascii="Arial" w:hAnsi="Arial" w:cs="Arial"/>
              </w:rPr>
              <w:t>383</w:t>
            </w:r>
          </w:p>
        </w:tc>
        <w:tc>
          <w:tcPr>
            <w:tcW w:w="1323" w:type="dxa"/>
          </w:tcPr>
          <w:p w14:paraId="34F3EB13" w14:textId="35E7A211" w:rsidR="006B5A8C" w:rsidRPr="00F869FA" w:rsidRDefault="006B5A8C" w:rsidP="009157CF">
            <w:pPr>
              <w:spacing w:afterLines="20" w:after="48"/>
              <w:jc w:val="right"/>
              <w:rPr>
                <w:rFonts w:ascii="Arial" w:hAnsi="Arial" w:cs="Arial"/>
                <w:highlight w:val="yellow"/>
              </w:rPr>
            </w:pPr>
            <w:r w:rsidRPr="00A2588D">
              <w:rPr>
                <w:rFonts w:ascii="Arial" w:hAnsi="Arial" w:cs="Arial"/>
              </w:rPr>
              <w:t>0.2</w:t>
            </w:r>
            <w:r w:rsidR="00A2588D" w:rsidRPr="00A2588D">
              <w:rPr>
                <w:rFonts w:ascii="Arial" w:hAnsi="Arial" w:cs="Arial"/>
              </w:rPr>
              <w:t>68</w:t>
            </w:r>
          </w:p>
        </w:tc>
        <w:tc>
          <w:tcPr>
            <w:tcW w:w="1323" w:type="dxa"/>
          </w:tcPr>
          <w:p w14:paraId="0C8DF951" w14:textId="6E7DEE29" w:rsidR="006B5A8C" w:rsidRPr="00F869FA" w:rsidRDefault="006B5A8C" w:rsidP="009157CF">
            <w:pPr>
              <w:spacing w:afterLines="20" w:after="48"/>
              <w:jc w:val="right"/>
              <w:rPr>
                <w:rFonts w:ascii="Arial" w:hAnsi="Arial" w:cs="Arial"/>
                <w:highlight w:val="yellow"/>
              </w:rPr>
            </w:pPr>
            <w:r w:rsidRPr="00456BC6">
              <w:rPr>
                <w:rFonts w:ascii="Arial" w:hAnsi="Arial" w:cs="Arial"/>
              </w:rPr>
              <w:t>0.</w:t>
            </w:r>
            <w:r w:rsidR="00456BC6" w:rsidRPr="00456BC6">
              <w:rPr>
                <w:rFonts w:ascii="Arial" w:hAnsi="Arial" w:cs="Arial"/>
              </w:rPr>
              <w:t>115</w:t>
            </w:r>
          </w:p>
        </w:tc>
        <w:tc>
          <w:tcPr>
            <w:tcW w:w="6316" w:type="dxa"/>
          </w:tcPr>
          <w:p w14:paraId="3DA261DB" w14:textId="65A4C1B9"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in hourly rate from £2.66 to £3.80 including £0.53 per hour for TPG/TPECG</w:t>
            </w:r>
            <w:r>
              <w:rPr>
                <w:rStyle w:val="eop"/>
                <w:rFonts w:ascii="Arial" w:hAnsi="Arial" w:cs="Arial"/>
                <w:sz w:val="22"/>
                <w:szCs w:val="22"/>
              </w:rPr>
              <w:t> </w:t>
            </w:r>
          </w:p>
        </w:tc>
      </w:tr>
      <w:tr w:rsidR="006B5A8C" w:rsidRPr="00F869FA" w14:paraId="59207AB2" w14:textId="77777777" w:rsidTr="00BC6865">
        <w:trPr>
          <w:trHeight w:val="309"/>
        </w:trPr>
        <w:tc>
          <w:tcPr>
            <w:tcW w:w="3910" w:type="dxa"/>
          </w:tcPr>
          <w:p w14:paraId="673BE235" w14:textId="77777777" w:rsidR="006B5A8C" w:rsidRPr="002517C1" w:rsidRDefault="006B5A8C" w:rsidP="009157CF">
            <w:pPr>
              <w:spacing w:afterLines="20" w:after="48"/>
              <w:rPr>
                <w:rFonts w:ascii="Arial" w:hAnsi="Arial" w:cs="Arial"/>
              </w:rPr>
            </w:pPr>
            <w:r w:rsidRPr="002517C1">
              <w:rPr>
                <w:rFonts w:ascii="Arial" w:hAnsi="Arial" w:cs="Arial"/>
              </w:rPr>
              <w:t>Early Years Disability Access Fund</w:t>
            </w:r>
          </w:p>
        </w:tc>
        <w:tc>
          <w:tcPr>
            <w:tcW w:w="1323" w:type="dxa"/>
          </w:tcPr>
          <w:p w14:paraId="7F61FA85" w14:textId="5A884837" w:rsidR="006B5A8C" w:rsidRPr="00F869FA" w:rsidRDefault="006B5A8C" w:rsidP="009157CF">
            <w:pPr>
              <w:spacing w:afterLines="20" w:after="48"/>
              <w:jc w:val="right"/>
              <w:rPr>
                <w:rFonts w:ascii="Arial" w:hAnsi="Arial" w:cs="Arial"/>
                <w:highlight w:val="yellow"/>
              </w:rPr>
            </w:pPr>
            <w:r w:rsidRPr="006A2D3C">
              <w:rPr>
                <w:rFonts w:ascii="Arial" w:hAnsi="Arial" w:cs="Arial"/>
              </w:rPr>
              <w:t>0.2</w:t>
            </w:r>
            <w:r w:rsidR="006A2D3C" w:rsidRPr="006A2D3C">
              <w:rPr>
                <w:rFonts w:ascii="Arial" w:hAnsi="Arial" w:cs="Arial"/>
              </w:rPr>
              <w:t>76</w:t>
            </w:r>
          </w:p>
        </w:tc>
        <w:tc>
          <w:tcPr>
            <w:tcW w:w="1323" w:type="dxa"/>
          </w:tcPr>
          <w:p w14:paraId="6CD4B667" w14:textId="3FA2CCFF" w:rsidR="006B5A8C" w:rsidRPr="00F869FA" w:rsidRDefault="006B5A8C" w:rsidP="009157CF">
            <w:pPr>
              <w:spacing w:afterLines="20" w:after="48"/>
              <w:jc w:val="right"/>
              <w:rPr>
                <w:rFonts w:ascii="Arial" w:hAnsi="Arial" w:cs="Arial"/>
                <w:highlight w:val="yellow"/>
              </w:rPr>
            </w:pPr>
            <w:r w:rsidRPr="00356880">
              <w:rPr>
                <w:rFonts w:ascii="Arial" w:hAnsi="Arial" w:cs="Arial"/>
              </w:rPr>
              <w:t>0.</w:t>
            </w:r>
            <w:r w:rsidR="00356880" w:rsidRPr="00356880">
              <w:rPr>
                <w:rFonts w:ascii="Arial" w:hAnsi="Arial" w:cs="Arial"/>
              </w:rPr>
              <w:t>227</w:t>
            </w:r>
          </w:p>
        </w:tc>
        <w:tc>
          <w:tcPr>
            <w:tcW w:w="1323" w:type="dxa"/>
          </w:tcPr>
          <w:p w14:paraId="37667173" w14:textId="6EFF09C6" w:rsidR="006B5A8C" w:rsidRPr="00F869FA" w:rsidRDefault="006B5A8C" w:rsidP="009157CF">
            <w:pPr>
              <w:spacing w:afterLines="20" w:after="48"/>
              <w:jc w:val="right"/>
              <w:rPr>
                <w:rFonts w:ascii="Arial" w:hAnsi="Arial" w:cs="Arial"/>
                <w:highlight w:val="yellow"/>
              </w:rPr>
            </w:pPr>
            <w:r w:rsidRPr="00130DBE">
              <w:rPr>
                <w:rFonts w:ascii="Arial" w:hAnsi="Arial" w:cs="Arial"/>
              </w:rPr>
              <w:t>0.04</w:t>
            </w:r>
            <w:r w:rsidR="00130DBE" w:rsidRPr="00130DBE">
              <w:rPr>
                <w:rFonts w:ascii="Arial" w:hAnsi="Arial" w:cs="Arial"/>
              </w:rPr>
              <w:t>9</w:t>
            </w:r>
          </w:p>
        </w:tc>
        <w:tc>
          <w:tcPr>
            <w:tcW w:w="6316" w:type="dxa"/>
          </w:tcPr>
          <w:p w14:paraId="701B0F22" w14:textId="7CA8CCBD"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Increase from £800 per child (for 284 pupils in 2022-23) to £828 (for 333 pupils in 2023-24)</w:t>
            </w:r>
            <w:r>
              <w:rPr>
                <w:rStyle w:val="eop"/>
                <w:rFonts w:ascii="Arial" w:hAnsi="Arial" w:cs="Arial"/>
                <w:sz w:val="22"/>
                <w:szCs w:val="22"/>
              </w:rPr>
              <w:t> </w:t>
            </w:r>
          </w:p>
        </w:tc>
      </w:tr>
      <w:tr w:rsidR="006B5A8C" w:rsidRPr="00F869FA" w14:paraId="5DB9AC2C" w14:textId="77777777" w:rsidTr="00BC6865">
        <w:trPr>
          <w:trHeight w:val="154"/>
        </w:trPr>
        <w:tc>
          <w:tcPr>
            <w:tcW w:w="3910" w:type="dxa"/>
            <w:hideMark/>
          </w:tcPr>
          <w:p w14:paraId="4E0FD581" w14:textId="77777777" w:rsidR="006B5A8C" w:rsidRPr="002517C1" w:rsidRDefault="006B5A8C" w:rsidP="009157CF">
            <w:pPr>
              <w:spacing w:afterLines="20" w:after="48"/>
              <w:rPr>
                <w:rFonts w:ascii="Arial" w:hAnsi="Arial" w:cs="Arial"/>
                <w:b/>
              </w:rPr>
            </w:pPr>
            <w:r w:rsidRPr="002517C1">
              <w:rPr>
                <w:rFonts w:ascii="Arial" w:hAnsi="Arial" w:cs="Arial"/>
                <w:b/>
              </w:rPr>
              <w:t>Schools Block</w:t>
            </w:r>
          </w:p>
        </w:tc>
        <w:tc>
          <w:tcPr>
            <w:tcW w:w="1323" w:type="dxa"/>
          </w:tcPr>
          <w:p w14:paraId="507EA3B5" w14:textId="2D3AD31D" w:rsidR="006B5A8C" w:rsidRPr="00F869FA" w:rsidRDefault="00B4135E" w:rsidP="00B4135E">
            <w:pPr>
              <w:spacing w:afterLines="20" w:after="48"/>
              <w:jc w:val="right"/>
              <w:rPr>
                <w:rFonts w:ascii="Arial" w:hAnsi="Arial" w:cs="Arial"/>
                <w:highlight w:val="yellow"/>
              </w:rPr>
            </w:pPr>
            <w:r w:rsidRPr="00B4135E">
              <w:rPr>
                <w:rFonts w:ascii="Arial" w:hAnsi="Arial" w:cs="Arial"/>
              </w:rPr>
              <w:t>601.033</w:t>
            </w:r>
          </w:p>
        </w:tc>
        <w:tc>
          <w:tcPr>
            <w:tcW w:w="1323" w:type="dxa"/>
          </w:tcPr>
          <w:p w14:paraId="255B3B89" w14:textId="0A04DDF5" w:rsidR="006B5A8C" w:rsidRPr="00F869FA" w:rsidRDefault="006B5A8C" w:rsidP="009157CF">
            <w:pPr>
              <w:spacing w:afterLines="20" w:after="48"/>
              <w:jc w:val="right"/>
              <w:rPr>
                <w:rFonts w:ascii="Arial" w:hAnsi="Arial" w:cs="Arial"/>
                <w:highlight w:val="yellow"/>
              </w:rPr>
            </w:pPr>
            <w:r w:rsidRPr="008733D6">
              <w:rPr>
                <w:rFonts w:ascii="Arial" w:hAnsi="Arial" w:cs="Arial"/>
              </w:rPr>
              <w:t>5</w:t>
            </w:r>
            <w:r w:rsidR="008733D6" w:rsidRPr="008733D6">
              <w:rPr>
                <w:rFonts w:ascii="Arial" w:hAnsi="Arial" w:cs="Arial"/>
              </w:rPr>
              <w:t>68.631</w:t>
            </w:r>
          </w:p>
        </w:tc>
        <w:tc>
          <w:tcPr>
            <w:tcW w:w="1323" w:type="dxa"/>
          </w:tcPr>
          <w:p w14:paraId="3807B603" w14:textId="44604B6E" w:rsidR="006B5A8C" w:rsidRPr="00F869FA" w:rsidRDefault="00130DBE" w:rsidP="009157CF">
            <w:pPr>
              <w:spacing w:afterLines="20" w:after="48"/>
              <w:jc w:val="right"/>
              <w:rPr>
                <w:rFonts w:ascii="Arial" w:hAnsi="Arial" w:cs="Arial"/>
                <w:highlight w:val="yellow"/>
              </w:rPr>
            </w:pPr>
            <w:r w:rsidRPr="00130DBE">
              <w:rPr>
                <w:rFonts w:ascii="Arial" w:hAnsi="Arial" w:cs="Arial"/>
              </w:rPr>
              <w:t>32.402</w:t>
            </w:r>
          </w:p>
        </w:tc>
        <w:tc>
          <w:tcPr>
            <w:tcW w:w="6316" w:type="dxa"/>
          </w:tcPr>
          <w:p w14:paraId="1ADE5042" w14:textId="72C37C7F" w:rsidR="006B5A8C" w:rsidRPr="00F869FA" w:rsidRDefault="006B5A8C" w:rsidP="009157CF">
            <w:pPr>
              <w:spacing w:afterLines="20" w:after="48"/>
              <w:rPr>
                <w:rFonts w:ascii="Arial" w:hAnsi="Arial" w:cs="Arial"/>
                <w:highlight w:val="yellow"/>
              </w:rPr>
            </w:pPr>
            <w:r>
              <w:rPr>
                <w:rStyle w:val="normaltextrun"/>
                <w:rFonts w:ascii="Arial" w:hAnsi="Arial" w:cs="Arial"/>
                <w:sz w:val="22"/>
                <w:szCs w:val="22"/>
              </w:rPr>
              <w:t xml:space="preserve">Increase of </w:t>
            </w:r>
            <w:r w:rsidR="00A15623">
              <w:rPr>
                <w:rStyle w:val="normaltextrun"/>
                <w:rFonts w:ascii="Arial" w:hAnsi="Arial" w:cs="Arial"/>
                <w:sz w:val="22"/>
                <w:szCs w:val="22"/>
              </w:rPr>
              <w:t>514</w:t>
            </w:r>
            <w:r>
              <w:rPr>
                <w:rStyle w:val="normaltextrun"/>
                <w:rFonts w:ascii="Arial" w:hAnsi="Arial" w:cs="Arial"/>
                <w:sz w:val="22"/>
                <w:szCs w:val="22"/>
              </w:rPr>
              <w:t xml:space="preserve"> pupils, £3.</w:t>
            </w:r>
            <w:r w:rsidR="00A15623">
              <w:rPr>
                <w:rStyle w:val="normaltextrun"/>
                <w:rFonts w:ascii="Arial" w:hAnsi="Arial" w:cs="Arial"/>
                <w:sz w:val="22"/>
                <w:szCs w:val="22"/>
              </w:rPr>
              <w:t>633m, School Supplementary Grant rolled into DSG (£16.818m)</w:t>
            </w:r>
            <w:r>
              <w:rPr>
                <w:rStyle w:val="normaltextrun"/>
                <w:rFonts w:ascii="Arial" w:hAnsi="Arial" w:cs="Arial"/>
                <w:sz w:val="22"/>
                <w:szCs w:val="22"/>
              </w:rPr>
              <w:t xml:space="preserve"> and additional money from DfE through NFF</w:t>
            </w:r>
            <w:r w:rsidR="00A15623">
              <w:rPr>
                <w:rStyle w:val="normaltextrun"/>
                <w:rFonts w:ascii="Arial" w:hAnsi="Arial" w:cs="Arial"/>
                <w:sz w:val="22"/>
                <w:szCs w:val="22"/>
              </w:rPr>
              <w:t xml:space="preserve"> £11.951m.</w:t>
            </w:r>
            <w:r w:rsidR="00A15623">
              <w:rPr>
                <w:rStyle w:val="eop"/>
                <w:rFonts w:ascii="Arial" w:hAnsi="Arial" w:cs="Arial"/>
                <w:sz w:val="22"/>
                <w:szCs w:val="22"/>
              </w:rPr>
              <w:t> </w:t>
            </w:r>
          </w:p>
        </w:tc>
      </w:tr>
      <w:tr w:rsidR="006B5A8C" w:rsidRPr="00F869FA" w14:paraId="6467AC0C" w14:textId="77777777" w:rsidTr="00BC6865">
        <w:trPr>
          <w:trHeight w:val="154"/>
        </w:trPr>
        <w:tc>
          <w:tcPr>
            <w:tcW w:w="3910" w:type="dxa"/>
          </w:tcPr>
          <w:p w14:paraId="370EF6AA" w14:textId="77777777" w:rsidR="006B5A8C" w:rsidRPr="002517C1" w:rsidRDefault="006B5A8C" w:rsidP="009157CF">
            <w:pPr>
              <w:spacing w:afterLines="20" w:after="48"/>
              <w:rPr>
                <w:rFonts w:ascii="Arial" w:hAnsi="Arial" w:cs="Arial"/>
                <w:b/>
              </w:rPr>
            </w:pPr>
            <w:r w:rsidRPr="002517C1">
              <w:rPr>
                <w:rFonts w:ascii="Arial" w:hAnsi="Arial" w:cs="Arial"/>
                <w:b/>
              </w:rPr>
              <w:t>Central School Services Block</w:t>
            </w:r>
          </w:p>
        </w:tc>
        <w:tc>
          <w:tcPr>
            <w:tcW w:w="1323" w:type="dxa"/>
          </w:tcPr>
          <w:p w14:paraId="5419BA10" w14:textId="6B65C238" w:rsidR="006B5A8C" w:rsidRPr="00F869FA" w:rsidRDefault="001212D4" w:rsidP="009157CF">
            <w:pPr>
              <w:spacing w:afterLines="20" w:after="48"/>
              <w:jc w:val="right"/>
              <w:rPr>
                <w:rFonts w:ascii="Arial" w:hAnsi="Arial" w:cs="Arial"/>
                <w:highlight w:val="yellow"/>
              </w:rPr>
            </w:pPr>
            <w:r w:rsidRPr="001212D4">
              <w:rPr>
                <w:rFonts w:ascii="Arial" w:hAnsi="Arial" w:cs="Arial"/>
              </w:rPr>
              <w:t>4.080</w:t>
            </w:r>
          </w:p>
        </w:tc>
        <w:tc>
          <w:tcPr>
            <w:tcW w:w="1323" w:type="dxa"/>
          </w:tcPr>
          <w:p w14:paraId="7A03DDA3" w14:textId="6DAE9AC6" w:rsidR="006B5A8C" w:rsidRPr="00F869FA" w:rsidRDefault="006B5A8C" w:rsidP="009157CF">
            <w:pPr>
              <w:spacing w:afterLines="20" w:after="48"/>
              <w:jc w:val="right"/>
              <w:rPr>
                <w:rFonts w:ascii="Arial" w:hAnsi="Arial" w:cs="Arial"/>
                <w:highlight w:val="yellow"/>
              </w:rPr>
            </w:pPr>
            <w:r w:rsidRPr="00DF5A11">
              <w:rPr>
                <w:rFonts w:ascii="Arial" w:hAnsi="Arial" w:cs="Arial"/>
              </w:rPr>
              <w:t>3</w:t>
            </w:r>
            <w:r w:rsidR="00DF5A11" w:rsidRPr="00DF5A11">
              <w:rPr>
                <w:rFonts w:ascii="Arial" w:hAnsi="Arial" w:cs="Arial"/>
              </w:rPr>
              <w:t>.965</w:t>
            </w:r>
          </w:p>
        </w:tc>
        <w:tc>
          <w:tcPr>
            <w:tcW w:w="1323" w:type="dxa"/>
          </w:tcPr>
          <w:p w14:paraId="015AB0A7" w14:textId="658C5B08" w:rsidR="006B5A8C" w:rsidRPr="00F869FA" w:rsidRDefault="006B5A8C" w:rsidP="009157CF">
            <w:pPr>
              <w:spacing w:afterLines="20" w:after="48"/>
              <w:jc w:val="right"/>
              <w:rPr>
                <w:rFonts w:ascii="Arial" w:hAnsi="Arial" w:cs="Arial"/>
                <w:highlight w:val="yellow"/>
              </w:rPr>
            </w:pPr>
            <w:r w:rsidRPr="00806FA6">
              <w:rPr>
                <w:rFonts w:ascii="Arial" w:hAnsi="Arial" w:cs="Arial"/>
              </w:rPr>
              <w:t>0.1</w:t>
            </w:r>
            <w:r w:rsidR="00806FA6" w:rsidRPr="00806FA6">
              <w:rPr>
                <w:rFonts w:ascii="Arial" w:hAnsi="Arial" w:cs="Arial"/>
              </w:rPr>
              <w:t>15</w:t>
            </w:r>
          </w:p>
        </w:tc>
        <w:tc>
          <w:tcPr>
            <w:tcW w:w="6316" w:type="dxa"/>
          </w:tcPr>
          <w:p w14:paraId="0F37A2A7" w14:textId="508C0E7E" w:rsidR="006B5A8C" w:rsidRPr="00F869FA" w:rsidRDefault="006B5A8C" w:rsidP="009157CF">
            <w:pPr>
              <w:spacing w:afterLines="20" w:after="48"/>
              <w:rPr>
                <w:rFonts w:ascii="Arial" w:hAnsi="Arial" w:cs="Arial"/>
                <w:highlight w:val="yellow"/>
              </w:rPr>
            </w:pPr>
            <w:r>
              <w:rPr>
                <w:rStyle w:val="normaltextrun"/>
                <w:rFonts w:ascii="Arial" w:hAnsi="Arial" w:cs="Arial"/>
                <w:sz w:val="22"/>
                <w:szCs w:val="22"/>
              </w:rPr>
              <w:t xml:space="preserve">Increase of </w:t>
            </w:r>
            <w:r w:rsidR="00A15623">
              <w:rPr>
                <w:rStyle w:val="normaltextrun"/>
                <w:rFonts w:ascii="Arial" w:hAnsi="Arial" w:cs="Arial"/>
                <w:sz w:val="22"/>
                <w:szCs w:val="22"/>
              </w:rPr>
              <w:t>514</w:t>
            </w:r>
            <w:r>
              <w:rPr>
                <w:rStyle w:val="normaltextrun"/>
                <w:rFonts w:ascii="Arial" w:hAnsi="Arial" w:cs="Arial"/>
                <w:sz w:val="22"/>
                <w:szCs w:val="22"/>
              </w:rPr>
              <w:t xml:space="preserve"> pupils, funding per-pupil has increased from £35.75 </w:t>
            </w:r>
            <w:r w:rsidR="00A15623">
              <w:rPr>
                <w:rStyle w:val="normaltextrun"/>
                <w:rFonts w:ascii="Arial" w:hAnsi="Arial" w:cs="Arial"/>
                <w:sz w:val="22"/>
                <w:szCs w:val="22"/>
              </w:rPr>
              <w:t xml:space="preserve">to £36.88 </w:t>
            </w:r>
            <w:r>
              <w:rPr>
                <w:rStyle w:val="normaltextrun"/>
                <w:rFonts w:ascii="Arial" w:hAnsi="Arial" w:cs="Arial"/>
                <w:sz w:val="22"/>
                <w:szCs w:val="22"/>
              </w:rPr>
              <w:t xml:space="preserve">per pupil, </w:t>
            </w:r>
            <w:r w:rsidR="00A15623">
              <w:rPr>
                <w:rStyle w:val="normaltextrun"/>
                <w:rFonts w:ascii="Arial" w:hAnsi="Arial" w:cs="Arial"/>
                <w:sz w:val="22"/>
                <w:szCs w:val="22"/>
              </w:rPr>
              <w:t>but £25k</w:t>
            </w:r>
            <w:r>
              <w:rPr>
                <w:rStyle w:val="normaltextrun"/>
                <w:rFonts w:ascii="Arial" w:hAnsi="Arial" w:cs="Arial"/>
                <w:sz w:val="22"/>
                <w:szCs w:val="22"/>
              </w:rPr>
              <w:t xml:space="preserve"> reduction to historic commitments funding.</w:t>
            </w:r>
            <w:r w:rsidR="00A15623">
              <w:rPr>
                <w:rStyle w:val="eop"/>
                <w:rFonts w:ascii="Arial" w:hAnsi="Arial" w:cs="Arial"/>
                <w:sz w:val="22"/>
                <w:szCs w:val="22"/>
              </w:rPr>
              <w:t> </w:t>
            </w:r>
          </w:p>
        </w:tc>
      </w:tr>
      <w:tr w:rsidR="006B5A8C" w:rsidRPr="00F869FA" w14:paraId="61048AF4" w14:textId="77777777" w:rsidTr="00BC6865">
        <w:trPr>
          <w:trHeight w:val="154"/>
        </w:trPr>
        <w:tc>
          <w:tcPr>
            <w:tcW w:w="3910" w:type="dxa"/>
          </w:tcPr>
          <w:p w14:paraId="7840235B" w14:textId="3867A6C8" w:rsidR="006B5A8C" w:rsidRPr="002517C1" w:rsidRDefault="006B5A8C" w:rsidP="009157CF">
            <w:pPr>
              <w:spacing w:afterLines="20" w:after="48"/>
              <w:rPr>
                <w:rFonts w:ascii="Arial" w:hAnsi="Arial" w:cs="Arial"/>
                <w:b/>
              </w:rPr>
            </w:pPr>
            <w:r w:rsidRPr="002517C1">
              <w:rPr>
                <w:rFonts w:ascii="Arial" w:hAnsi="Arial" w:cs="Arial"/>
                <w:b/>
              </w:rPr>
              <w:t>High Needs Block</w:t>
            </w:r>
            <w:r w:rsidR="00E04F46" w:rsidRPr="002517C1">
              <w:rPr>
                <w:rFonts w:ascii="Arial" w:hAnsi="Arial" w:cs="Arial"/>
                <w:b/>
              </w:rPr>
              <w:t>***</w:t>
            </w:r>
          </w:p>
        </w:tc>
        <w:tc>
          <w:tcPr>
            <w:tcW w:w="1323" w:type="dxa"/>
          </w:tcPr>
          <w:p w14:paraId="4F995E3B" w14:textId="23E96B9F" w:rsidR="006B5A8C" w:rsidRPr="00F869FA" w:rsidRDefault="006B5A8C" w:rsidP="009157CF">
            <w:pPr>
              <w:spacing w:afterLines="20" w:after="48"/>
              <w:jc w:val="right"/>
              <w:rPr>
                <w:rFonts w:ascii="Arial" w:hAnsi="Arial" w:cs="Arial"/>
                <w:highlight w:val="yellow"/>
              </w:rPr>
            </w:pPr>
            <w:r w:rsidRPr="001212D4">
              <w:rPr>
                <w:rFonts w:ascii="Arial" w:hAnsi="Arial" w:cs="Arial"/>
              </w:rPr>
              <w:t>1</w:t>
            </w:r>
            <w:r w:rsidR="001212D4" w:rsidRPr="001212D4">
              <w:rPr>
                <w:rFonts w:ascii="Arial" w:hAnsi="Arial" w:cs="Arial"/>
              </w:rPr>
              <w:t>35.212</w:t>
            </w:r>
          </w:p>
        </w:tc>
        <w:tc>
          <w:tcPr>
            <w:tcW w:w="1323" w:type="dxa"/>
          </w:tcPr>
          <w:p w14:paraId="49C0E728" w14:textId="7FBC6A28" w:rsidR="006B5A8C" w:rsidRPr="00F869FA" w:rsidRDefault="006B5A8C" w:rsidP="009157CF">
            <w:pPr>
              <w:spacing w:afterLines="20" w:after="48"/>
              <w:jc w:val="right"/>
              <w:rPr>
                <w:rFonts w:ascii="Arial" w:hAnsi="Arial" w:cs="Arial"/>
                <w:highlight w:val="yellow"/>
              </w:rPr>
            </w:pPr>
            <w:r w:rsidRPr="00DF5A11">
              <w:rPr>
                <w:rFonts w:ascii="Arial" w:hAnsi="Arial" w:cs="Arial"/>
              </w:rPr>
              <w:t>1</w:t>
            </w:r>
            <w:r w:rsidR="00DF5A11" w:rsidRPr="00DF5A11">
              <w:rPr>
                <w:rFonts w:ascii="Arial" w:hAnsi="Arial" w:cs="Arial"/>
              </w:rPr>
              <w:t>20.578</w:t>
            </w:r>
          </w:p>
        </w:tc>
        <w:tc>
          <w:tcPr>
            <w:tcW w:w="1323" w:type="dxa"/>
          </w:tcPr>
          <w:p w14:paraId="0870CEB0" w14:textId="6C18ECA4" w:rsidR="006B5A8C" w:rsidRPr="00F869FA" w:rsidRDefault="006B5A8C" w:rsidP="009157CF">
            <w:pPr>
              <w:spacing w:afterLines="20" w:after="48"/>
              <w:jc w:val="right"/>
              <w:rPr>
                <w:rFonts w:ascii="Arial" w:hAnsi="Arial" w:cs="Arial"/>
                <w:highlight w:val="yellow"/>
              </w:rPr>
            </w:pPr>
            <w:r w:rsidRPr="00385C56">
              <w:rPr>
                <w:rFonts w:ascii="Arial" w:hAnsi="Arial" w:cs="Arial"/>
              </w:rPr>
              <w:t>1</w:t>
            </w:r>
            <w:r w:rsidR="00385C56" w:rsidRPr="00385C56">
              <w:rPr>
                <w:rFonts w:ascii="Arial" w:hAnsi="Arial" w:cs="Arial"/>
              </w:rPr>
              <w:t>4.634</w:t>
            </w:r>
          </w:p>
        </w:tc>
        <w:tc>
          <w:tcPr>
            <w:tcW w:w="6316" w:type="dxa"/>
          </w:tcPr>
          <w:p w14:paraId="6AB5F1A7" w14:textId="2814E971" w:rsidR="006B5A8C" w:rsidRPr="00F869FA" w:rsidRDefault="00A15623" w:rsidP="009157CF">
            <w:pPr>
              <w:spacing w:afterLines="20" w:after="48"/>
              <w:rPr>
                <w:rFonts w:ascii="Arial" w:hAnsi="Arial" w:cs="Arial"/>
                <w:highlight w:val="yellow"/>
              </w:rPr>
            </w:pPr>
            <w:r>
              <w:rPr>
                <w:rStyle w:val="normaltextrun"/>
                <w:rFonts w:ascii="Arial" w:hAnsi="Arial" w:cs="Arial"/>
                <w:sz w:val="22"/>
                <w:szCs w:val="22"/>
              </w:rPr>
              <w:t>Includes £1.577m for increase in special school (inc. independent) places, £5.349m additional High Needs Block DSG allocation announced in December 2022, and additional funding distributed through National Funding Formula.</w:t>
            </w:r>
            <w:r>
              <w:rPr>
                <w:rStyle w:val="eop"/>
                <w:rFonts w:ascii="Arial" w:hAnsi="Arial" w:cs="Arial"/>
                <w:sz w:val="22"/>
                <w:szCs w:val="22"/>
              </w:rPr>
              <w:t> </w:t>
            </w:r>
          </w:p>
        </w:tc>
      </w:tr>
      <w:tr w:rsidR="006B5A8C" w:rsidRPr="00F869FA" w14:paraId="2DA056B8" w14:textId="77777777" w:rsidTr="00BC6865">
        <w:trPr>
          <w:trHeight w:val="164"/>
        </w:trPr>
        <w:tc>
          <w:tcPr>
            <w:tcW w:w="3910" w:type="dxa"/>
            <w:hideMark/>
          </w:tcPr>
          <w:p w14:paraId="06539314" w14:textId="45F83126" w:rsidR="006B5A8C" w:rsidRPr="002517C1" w:rsidRDefault="006B5A8C" w:rsidP="009157CF">
            <w:pPr>
              <w:spacing w:afterLines="20" w:after="48"/>
              <w:rPr>
                <w:rFonts w:ascii="Arial" w:hAnsi="Arial" w:cs="Arial"/>
                <w:b/>
              </w:rPr>
            </w:pPr>
            <w:r w:rsidRPr="002517C1">
              <w:rPr>
                <w:rFonts w:ascii="Arial" w:hAnsi="Arial" w:cs="Arial"/>
                <w:b/>
              </w:rPr>
              <w:t>Total</w:t>
            </w:r>
            <w:r w:rsidR="00CF364F" w:rsidRPr="002517C1">
              <w:rPr>
                <w:rFonts w:ascii="Arial" w:hAnsi="Arial" w:cs="Arial"/>
                <w:b/>
              </w:rPr>
              <w:t>****</w:t>
            </w:r>
          </w:p>
        </w:tc>
        <w:tc>
          <w:tcPr>
            <w:tcW w:w="1323" w:type="dxa"/>
          </w:tcPr>
          <w:p w14:paraId="4F3E10F9" w14:textId="395F33B2" w:rsidR="006B5A8C" w:rsidRPr="00F869FA" w:rsidRDefault="006B5A8C" w:rsidP="009157CF">
            <w:pPr>
              <w:spacing w:afterLines="20" w:after="48"/>
              <w:jc w:val="right"/>
              <w:rPr>
                <w:rFonts w:ascii="Arial" w:hAnsi="Arial" w:cs="Arial"/>
                <w:b/>
                <w:bCs/>
                <w:highlight w:val="yellow"/>
              </w:rPr>
            </w:pPr>
            <w:r w:rsidRPr="00FB7239">
              <w:rPr>
                <w:rFonts w:ascii="Arial" w:hAnsi="Arial" w:cs="Arial"/>
                <w:b/>
                <w:bCs/>
              </w:rPr>
              <w:t>7</w:t>
            </w:r>
            <w:r w:rsidR="00E1599B" w:rsidRPr="00FB7239">
              <w:rPr>
                <w:rFonts w:ascii="Arial" w:hAnsi="Arial" w:cs="Arial"/>
                <w:b/>
                <w:bCs/>
              </w:rPr>
              <w:t>87.655</w:t>
            </w:r>
          </w:p>
        </w:tc>
        <w:tc>
          <w:tcPr>
            <w:tcW w:w="1323" w:type="dxa"/>
          </w:tcPr>
          <w:p w14:paraId="1B1E0ED4" w14:textId="24133EE8" w:rsidR="006B5A8C" w:rsidRPr="00F869FA" w:rsidRDefault="00172541" w:rsidP="009157CF">
            <w:pPr>
              <w:spacing w:afterLines="20" w:after="48"/>
              <w:jc w:val="right"/>
              <w:rPr>
                <w:rFonts w:ascii="Arial" w:hAnsi="Arial" w:cs="Arial"/>
                <w:b/>
                <w:bCs/>
                <w:highlight w:val="yellow"/>
              </w:rPr>
            </w:pPr>
            <w:r w:rsidRPr="00172541">
              <w:rPr>
                <w:rFonts w:ascii="Arial" w:hAnsi="Arial" w:cs="Arial"/>
                <w:b/>
                <w:bCs/>
              </w:rPr>
              <w:t>737.767</w:t>
            </w:r>
          </w:p>
        </w:tc>
        <w:tc>
          <w:tcPr>
            <w:tcW w:w="1323" w:type="dxa"/>
          </w:tcPr>
          <w:p w14:paraId="6B2BA3D8" w14:textId="6EC49D12" w:rsidR="006B5A8C" w:rsidRPr="00F869FA" w:rsidRDefault="00531D01" w:rsidP="009157CF">
            <w:pPr>
              <w:spacing w:afterLines="20" w:after="48"/>
              <w:jc w:val="right"/>
              <w:rPr>
                <w:rFonts w:ascii="Arial" w:hAnsi="Arial" w:cs="Arial"/>
                <w:b/>
                <w:bCs/>
                <w:highlight w:val="yellow"/>
              </w:rPr>
            </w:pPr>
            <w:r w:rsidRPr="00531D01">
              <w:rPr>
                <w:rFonts w:ascii="Arial" w:hAnsi="Arial" w:cs="Arial"/>
                <w:b/>
                <w:bCs/>
              </w:rPr>
              <w:t>49.888</w:t>
            </w:r>
          </w:p>
        </w:tc>
        <w:tc>
          <w:tcPr>
            <w:tcW w:w="6316" w:type="dxa"/>
          </w:tcPr>
          <w:p w14:paraId="04398497" w14:textId="77777777" w:rsidR="006B5A8C" w:rsidRPr="00F869FA" w:rsidRDefault="006B5A8C" w:rsidP="009157CF">
            <w:pPr>
              <w:spacing w:afterLines="20" w:after="48"/>
              <w:rPr>
                <w:rFonts w:ascii="Arial" w:hAnsi="Arial" w:cs="Arial"/>
                <w:highlight w:val="yellow"/>
              </w:rPr>
            </w:pPr>
          </w:p>
        </w:tc>
      </w:tr>
    </w:tbl>
    <w:p w14:paraId="7B2B9DB8" w14:textId="091F8C82" w:rsidR="006B5A8C" w:rsidRPr="00F869FA" w:rsidRDefault="006B5A8C" w:rsidP="006B5A8C">
      <w:pPr>
        <w:rPr>
          <w:rFonts w:ascii="Arial" w:hAnsi="Arial" w:cs="Arial"/>
          <w:sz w:val="20"/>
          <w:szCs w:val="20"/>
          <w:highlight w:val="yellow"/>
        </w:rPr>
      </w:pPr>
      <w:r w:rsidRPr="001212D4">
        <w:rPr>
          <w:rFonts w:ascii="Arial" w:hAnsi="Arial" w:cs="Arial"/>
          <w:sz w:val="20"/>
          <w:szCs w:val="20"/>
        </w:rPr>
        <w:t>*Source: DfE’s DSG allocation tables 202</w:t>
      </w:r>
      <w:r w:rsidR="001212D4" w:rsidRPr="001212D4">
        <w:rPr>
          <w:rFonts w:ascii="Arial" w:hAnsi="Arial" w:cs="Arial"/>
          <w:sz w:val="20"/>
          <w:szCs w:val="20"/>
        </w:rPr>
        <w:t>3</w:t>
      </w:r>
      <w:r w:rsidRPr="001212D4">
        <w:rPr>
          <w:rFonts w:ascii="Arial" w:hAnsi="Arial" w:cs="Arial"/>
          <w:sz w:val="20"/>
          <w:szCs w:val="20"/>
        </w:rPr>
        <w:t>-2</w:t>
      </w:r>
      <w:r w:rsidR="001212D4" w:rsidRPr="001212D4">
        <w:rPr>
          <w:rFonts w:ascii="Arial" w:hAnsi="Arial" w:cs="Arial"/>
          <w:sz w:val="20"/>
          <w:szCs w:val="20"/>
        </w:rPr>
        <w:t>4</w:t>
      </w:r>
      <w:r w:rsidRPr="001212D4">
        <w:rPr>
          <w:rFonts w:ascii="Arial" w:hAnsi="Arial" w:cs="Arial"/>
          <w:sz w:val="20"/>
          <w:szCs w:val="20"/>
        </w:rPr>
        <w:t xml:space="preserve"> (published Dec’2</w:t>
      </w:r>
      <w:r w:rsidR="001212D4" w:rsidRPr="001212D4">
        <w:rPr>
          <w:rFonts w:ascii="Arial" w:hAnsi="Arial" w:cs="Arial"/>
          <w:sz w:val="20"/>
          <w:szCs w:val="20"/>
        </w:rPr>
        <w:t>2</w:t>
      </w:r>
      <w:r w:rsidRPr="001212D4">
        <w:rPr>
          <w:rFonts w:ascii="Arial" w:hAnsi="Arial" w:cs="Arial"/>
          <w:sz w:val="20"/>
          <w:szCs w:val="20"/>
        </w:rPr>
        <w:t xml:space="preserve">) </w:t>
      </w:r>
    </w:p>
    <w:p w14:paraId="534E839E" w14:textId="455F9994" w:rsidR="006B5A8C" w:rsidRPr="001212D4" w:rsidRDefault="006B5A8C" w:rsidP="006B5A8C">
      <w:pPr>
        <w:rPr>
          <w:rFonts w:ascii="Arial" w:hAnsi="Arial" w:cs="Arial"/>
          <w:sz w:val="20"/>
          <w:szCs w:val="20"/>
        </w:rPr>
      </w:pPr>
      <w:r w:rsidRPr="001212D4">
        <w:rPr>
          <w:rFonts w:ascii="Arial" w:hAnsi="Arial" w:cs="Arial"/>
          <w:sz w:val="20"/>
          <w:szCs w:val="20"/>
        </w:rPr>
        <w:t>**Source:  DfE’s DSG allocation tables 202</w:t>
      </w:r>
      <w:r w:rsidR="001212D4" w:rsidRPr="001212D4">
        <w:rPr>
          <w:rFonts w:ascii="Arial" w:hAnsi="Arial" w:cs="Arial"/>
          <w:sz w:val="20"/>
          <w:szCs w:val="20"/>
        </w:rPr>
        <w:t>2</w:t>
      </w:r>
      <w:r w:rsidRPr="001212D4">
        <w:rPr>
          <w:rFonts w:ascii="Arial" w:hAnsi="Arial" w:cs="Arial"/>
          <w:sz w:val="20"/>
          <w:szCs w:val="20"/>
        </w:rPr>
        <w:t>-2</w:t>
      </w:r>
      <w:r w:rsidR="001212D4" w:rsidRPr="001212D4">
        <w:rPr>
          <w:rFonts w:ascii="Arial" w:hAnsi="Arial" w:cs="Arial"/>
          <w:sz w:val="20"/>
          <w:szCs w:val="20"/>
        </w:rPr>
        <w:t>3</w:t>
      </w:r>
      <w:r w:rsidRPr="001212D4">
        <w:rPr>
          <w:rFonts w:ascii="Arial" w:hAnsi="Arial" w:cs="Arial"/>
          <w:sz w:val="20"/>
          <w:szCs w:val="20"/>
        </w:rPr>
        <w:t xml:space="preserve"> (Nov’2</w:t>
      </w:r>
      <w:r w:rsidR="001212D4" w:rsidRPr="001212D4">
        <w:rPr>
          <w:rFonts w:ascii="Arial" w:hAnsi="Arial" w:cs="Arial"/>
          <w:sz w:val="20"/>
          <w:szCs w:val="20"/>
        </w:rPr>
        <w:t>2</w:t>
      </w:r>
      <w:r w:rsidRPr="001212D4">
        <w:rPr>
          <w:rFonts w:ascii="Arial" w:hAnsi="Arial" w:cs="Arial"/>
          <w:sz w:val="20"/>
          <w:szCs w:val="20"/>
        </w:rPr>
        <w:t xml:space="preserve"> update)</w:t>
      </w:r>
    </w:p>
    <w:p w14:paraId="7D1FE16F" w14:textId="4D2C6E57" w:rsidR="00E04F46" w:rsidRPr="00F869FA" w:rsidRDefault="00E04F46" w:rsidP="006B5A8C">
      <w:pPr>
        <w:rPr>
          <w:rFonts w:ascii="Arial" w:hAnsi="Arial" w:cs="Arial"/>
          <w:sz w:val="20"/>
          <w:szCs w:val="20"/>
          <w:highlight w:val="yellow"/>
        </w:rPr>
      </w:pPr>
      <w:r w:rsidRPr="009F283A">
        <w:rPr>
          <w:rFonts w:ascii="Arial" w:hAnsi="Arial" w:cs="Arial"/>
          <w:sz w:val="20"/>
          <w:szCs w:val="20"/>
        </w:rPr>
        <w:t>***</w:t>
      </w:r>
      <w:r w:rsidR="00286880" w:rsidRPr="009F283A">
        <w:rPr>
          <w:rFonts w:ascii="Arial" w:hAnsi="Arial" w:cs="Arial"/>
          <w:sz w:val="20"/>
          <w:szCs w:val="20"/>
        </w:rPr>
        <w:t>Includes</w:t>
      </w:r>
      <w:r w:rsidRPr="009F283A">
        <w:rPr>
          <w:rFonts w:ascii="Arial" w:hAnsi="Arial" w:cs="Arial"/>
          <w:sz w:val="20"/>
          <w:szCs w:val="20"/>
        </w:rPr>
        <w:t xml:space="preserve"> High Needs additional</w:t>
      </w:r>
      <w:r w:rsidR="00080BAD" w:rsidRPr="009F283A">
        <w:rPr>
          <w:rFonts w:ascii="Arial" w:hAnsi="Arial" w:cs="Arial"/>
          <w:sz w:val="20"/>
          <w:szCs w:val="20"/>
        </w:rPr>
        <w:t xml:space="preserve"> DSG funding</w:t>
      </w:r>
      <w:r w:rsidRPr="009F283A">
        <w:rPr>
          <w:rFonts w:ascii="Arial" w:hAnsi="Arial" w:cs="Arial"/>
          <w:sz w:val="20"/>
          <w:szCs w:val="20"/>
        </w:rPr>
        <w:t xml:space="preserve"> allocation of £</w:t>
      </w:r>
      <w:r w:rsidR="00286880" w:rsidRPr="009F283A">
        <w:rPr>
          <w:rFonts w:ascii="Arial" w:hAnsi="Arial" w:cs="Arial"/>
          <w:sz w:val="20"/>
          <w:szCs w:val="20"/>
        </w:rPr>
        <w:t>5.349</w:t>
      </w:r>
      <w:r w:rsidRPr="009F283A">
        <w:rPr>
          <w:rFonts w:ascii="Arial" w:hAnsi="Arial" w:cs="Arial"/>
          <w:sz w:val="20"/>
          <w:szCs w:val="20"/>
        </w:rPr>
        <w:t>m</w:t>
      </w:r>
      <w:r w:rsidR="002E7B5C" w:rsidRPr="009F283A">
        <w:rPr>
          <w:rFonts w:ascii="Arial" w:hAnsi="Arial" w:cs="Arial"/>
          <w:sz w:val="20"/>
          <w:szCs w:val="20"/>
        </w:rPr>
        <w:t xml:space="preserve"> (HN allocation </w:t>
      </w:r>
      <w:r w:rsidR="00080BAD" w:rsidRPr="009F283A">
        <w:rPr>
          <w:rFonts w:ascii="Arial" w:hAnsi="Arial" w:cs="Arial"/>
          <w:sz w:val="20"/>
          <w:szCs w:val="20"/>
        </w:rPr>
        <w:t xml:space="preserve">before additional </w:t>
      </w:r>
      <w:r w:rsidR="0098160A" w:rsidRPr="009F283A">
        <w:rPr>
          <w:rFonts w:ascii="Arial" w:hAnsi="Arial" w:cs="Arial"/>
          <w:sz w:val="20"/>
          <w:szCs w:val="20"/>
        </w:rPr>
        <w:t xml:space="preserve">based on NFF </w:t>
      </w:r>
      <w:r w:rsidR="009F283A" w:rsidRPr="009F283A">
        <w:rPr>
          <w:rFonts w:ascii="Arial" w:hAnsi="Arial" w:cs="Arial"/>
          <w:sz w:val="20"/>
          <w:szCs w:val="20"/>
        </w:rPr>
        <w:t xml:space="preserve">approximately </w:t>
      </w:r>
      <w:r w:rsidR="002E7B5C" w:rsidRPr="009F283A">
        <w:rPr>
          <w:rFonts w:ascii="Arial" w:hAnsi="Arial" w:cs="Arial"/>
          <w:sz w:val="20"/>
          <w:szCs w:val="20"/>
        </w:rPr>
        <w:t>£1</w:t>
      </w:r>
      <w:r w:rsidR="0098160A" w:rsidRPr="009F283A">
        <w:rPr>
          <w:rFonts w:ascii="Arial" w:hAnsi="Arial" w:cs="Arial"/>
          <w:sz w:val="20"/>
          <w:szCs w:val="20"/>
        </w:rPr>
        <w:t>29.864</w:t>
      </w:r>
      <w:r w:rsidR="002E7B5C" w:rsidRPr="009F283A">
        <w:rPr>
          <w:rFonts w:ascii="Arial" w:hAnsi="Arial" w:cs="Arial"/>
          <w:sz w:val="20"/>
          <w:szCs w:val="20"/>
        </w:rPr>
        <w:t>m)</w:t>
      </w:r>
    </w:p>
    <w:p w14:paraId="061C3445" w14:textId="52B40AAD" w:rsidR="006B5A8C" w:rsidRPr="00721C77" w:rsidRDefault="00CF364F" w:rsidP="006B5A8C">
      <w:pPr>
        <w:rPr>
          <w:rFonts w:ascii="Arial" w:hAnsi="Arial" w:cs="Arial"/>
          <w:sz w:val="20"/>
          <w:szCs w:val="20"/>
        </w:rPr>
      </w:pPr>
      <w:r w:rsidRPr="00721C77">
        <w:rPr>
          <w:rFonts w:ascii="Arial" w:hAnsi="Arial" w:cs="Arial"/>
          <w:sz w:val="20"/>
          <w:szCs w:val="20"/>
        </w:rPr>
        <w:t>****Excludes £</w:t>
      </w:r>
      <w:r w:rsidR="009F283A" w:rsidRPr="00721C77">
        <w:rPr>
          <w:rFonts w:ascii="Arial" w:hAnsi="Arial" w:cs="Arial"/>
          <w:sz w:val="20"/>
          <w:szCs w:val="20"/>
        </w:rPr>
        <w:t>20.5</w:t>
      </w:r>
      <w:r w:rsidRPr="00721C77">
        <w:rPr>
          <w:rFonts w:ascii="Arial" w:hAnsi="Arial" w:cs="Arial"/>
          <w:sz w:val="20"/>
          <w:szCs w:val="20"/>
        </w:rPr>
        <w:t xml:space="preserve">m of </w:t>
      </w:r>
      <w:r w:rsidR="009F283A" w:rsidRPr="00721C77">
        <w:rPr>
          <w:rFonts w:ascii="Arial" w:hAnsi="Arial" w:cs="Arial"/>
          <w:sz w:val="20"/>
          <w:szCs w:val="20"/>
        </w:rPr>
        <w:t xml:space="preserve">Mainstream </w:t>
      </w:r>
      <w:r w:rsidR="00F54400" w:rsidRPr="00721C77">
        <w:rPr>
          <w:rFonts w:ascii="Arial" w:hAnsi="Arial" w:cs="Arial"/>
          <w:sz w:val="20"/>
          <w:szCs w:val="20"/>
        </w:rPr>
        <w:t xml:space="preserve">Schools </w:t>
      </w:r>
      <w:r w:rsidR="009F283A" w:rsidRPr="00721C77">
        <w:rPr>
          <w:rFonts w:ascii="Arial" w:hAnsi="Arial" w:cs="Arial"/>
          <w:sz w:val="20"/>
          <w:szCs w:val="20"/>
        </w:rPr>
        <w:t>Additional Grant</w:t>
      </w:r>
      <w:r w:rsidR="00F54400" w:rsidRPr="00721C77">
        <w:rPr>
          <w:rFonts w:ascii="Arial" w:hAnsi="Arial" w:cs="Arial"/>
          <w:sz w:val="20"/>
          <w:szCs w:val="20"/>
        </w:rPr>
        <w:t>, outside of the DSG</w:t>
      </w:r>
      <w:r w:rsidRPr="00721C77">
        <w:rPr>
          <w:rFonts w:ascii="Arial" w:hAnsi="Arial" w:cs="Arial"/>
          <w:sz w:val="20"/>
          <w:szCs w:val="20"/>
        </w:rPr>
        <w:t xml:space="preserve"> </w:t>
      </w:r>
      <w:r w:rsidR="00F54400" w:rsidRPr="00721C77">
        <w:rPr>
          <w:rFonts w:ascii="Arial" w:hAnsi="Arial" w:cs="Arial"/>
          <w:sz w:val="20"/>
          <w:szCs w:val="20"/>
        </w:rPr>
        <w:t xml:space="preserve">for </w:t>
      </w:r>
      <w:r w:rsidR="006378B7" w:rsidRPr="00721C77">
        <w:rPr>
          <w:rFonts w:ascii="Arial" w:hAnsi="Arial" w:cs="Arial"/>
          <w:sz w:val="20"/>
          <w:szCs w:val="20"/>
        </w:rPr>
        <w:t xml:space="preserve">mainstream </w:t>
      </w:r>
      <w:r w:rsidRPr="00721C77">
        <w:rPr>
          <w:rFonts w:ascii="Arial" w:hAnsi="Arial" w:cs="Arial"/>
          <w:sz w:val="20"/>
          <w:szCs w:val="20"/>
        </w:rPr>
        <w:t>schools</w:t>
      </w:r>
      <w:r w:rsidR="006378B7" w:rsidRPr="00721C77">
        <w:rPr>
          <w:rFonts w:ascii="Arial" w:hAnsi="Arial" w:cs="Arial"/>
          <w:sz w:val="20"/>
          <w:szCs w:val="20"/>
        </w:rPr>
        <w:t xml:space="preserve"> and academies </w:t>
      </w:r>
      <w:r w:rsidR="00866ED7" w:rsidRPr="00721C77">
        <w:rPr>
          <w:rFonts w:ascii="Arial" w:hAnsi="Arial" w:cs="Arial"/>
          <w:sz w:val="20"/>
          <w:szCs w:val="20"/>
        </w:rPr>
        <w:t xml:space="preserve">which will be distributed </w:t>
      </w:r>
      <w:r w:rsidR="00721C77" w:rsidRPr="00721C77">
        <w:rPr>
          <w:rFonts w:ascii="Arial" w:hAnsi="Arial" w:cs="Arial"/>
          <w:sz w:val="20"/>
          <w:szCs w:val="20"/>
        </w:rPr>
        <w:t>based on</w:t>
      </w:r>
      <w:r w:rsidR="00345BBF" w:rsidRPr="00721C77">
        <w:rPr>
          <w:rFonts w:ascii="Arial" w:hAnsi="Arial" w:cs="Arial"/>
          <w:sz w:val="20"/>
          <w:szCs w:val="20"/>
        </w:rPr>
        <w:t xml:space="preserve"> school-level allocations </w:t>
      </w:r>
      <w:r w:rsidR="00721C77" w:rsidRPr="00721C77">
        <w:rPr>
          <w:rFonts w:ascii="Arial" w:hAnsi="Arial" w:cs="Arial"/>
          <w:sz w:val="20"/>
          <w:szCs w:val="20"/>
        </w:rPr>
        <w:t xml:space="preserve">from the </w:t>
      </w:r>
      <w:r w:rsidR="00345BBF" w:rsidRPr="00721C77">
        <w:rPr>
          <w:rFonts w:ascii="Arial" w:hAnsi="Arial" w:cs="Arial"/>
          <w:sz w:val="20"/>
          <w:szCs w:val="20"/>
        </w:rPr>
        <w:t>DfE</w:t>
      </w:r>
      <w:r w:rsidR="00F54400" w:rsidRPr="00721C77">
        <w:rPr>
          <w:rFonts w:ascii="Arial" w:hAnsi="Arial" w:cs="Arial"/>
          <w:sz w:val="20"/>
          <w:szCs w:val="20"/>
        </w:rPr>
        <w:t xml:space="preserve"> </w:t>
      </w:r>
      <w:r w:rsidR="00721C77" w:rsidRPr="00721C77">
        <w:rPr>
          <w:rFonts w:ascii="Arial" w:hAnsi="Arial" w:cs="Arial"/>
          <w:sz w:val="20"/>
          <w:szCs w:val="20"/>
        </w:rPr>
        <w:t xml:space="preserve">expected </w:t>
      </w:r>
      <w:r w:rsidR="00F54400" w:rsidRPr="00721C77">
        <w:rPr>
          <w:rFonts w:ascii="Arial" w:hAnsi="Arial" w:cs="Arial"/>
          <w:sz w:val="20"/>
          <w:szCs w:val="20"/>
        </w:rPr>
        <w:t>to be published in Spring 2023.</w:t>
      </w:r>
    </w:p>
    <w:p w14:paraId="030DF5D0" w14:textId="77777777" w:rsidR="006B5A8C" w:rsidRPr="00721C77" w:rsidRDefault="006B5A8C" w:rsidP="006B5A8C">
      <w:pPr>
        <w:rPr>
          <w:rFonts w:ascii="Arial" w:hAnsi="Arial" w:cs="Arial"/>
          <w:sz w:val="20"/>
          <w:szCs w:val="20"/>
        </w:rPr>
      </w:pPr>
      <w:r w:rsidRPr="00721C77">
        <w:rPr>
          <w:rFonts w:ascii="Arial" w:hAnsi="Arial" w:cs="Arial"/>
          <w:sz w:val="20"/>
          <w:szCs w:val="20"/>
        </w:rPr>
        <w:t>Note: All figures are shown rounded to nearest thousand per DfE allocation table</w:t>
      </w:r>
    </w:p>
    <w:p w14:paraId="499BEFA0" w14:textId="77777777" w:rsidR="006B5A8C" w:rsidRPr="00F869FA" w:rsidRDefault="006B5A8C" w:rsidP="006B5A8C">
      <w:pPr>
        <w:rPr>
          <w:rFonts w:ascii="Arial" w:hAnsi="Arial" w:cs="Arial"/>
          <w:highlight w:val="yellow"/>
        </w:rPr>
        <w:sectPr w:rsidR="006B5A8C" w:rsidRPr="00F869FA" w:rsidSect="00F72A89">
          <w:pgSz w:w="16838" w:h="11906" w:orient="landscape"/>
          <w:pgMar w:top="1361" w:right="1361" w:bottom="1361" w:left="1361" w:header="709" w:footer="709" w:gutter="0"/>
          <w:cols w:space="708"/>
          <w:docGrid w:linePitch="360"/>
        </w:sectPr>
      </w:pPr>
    </w:p>
    <w:p w14:paraId="7E449667" w14:textId="40977E8D" w:rsidR="006B5A8C" w:rsidRPr="002517C1" w:rsidRDefault="00D94A7E" w:rsidP="006B5A8C">
      <w:pPr>
        <w:rPr>
          <w:rFonts w:ascii="Arial" w:hAnsi="Arial" w:cs="Arial"/>
          <w:b/>
          <w:bCs/>
        </w:rPr>
      </w:pPr>
      <w:r w:rsidRPr="002517C1">
        <w:rPr>
          <w:rFonts w:ascii="Arial" w:hAnsi="Arial" w:cs="Arial"/>
          <w:b/>
          <w:bCs/>
        </w:rPr>
        <w:lastRenderedPageBreak/>
        <w:t>2.3</w:t>
      </w:r>
      <w:r w:rsidR="006B5A8C" w:rsidRPr="002517C1">
        <w:rPr>
          <w:rFonts w:ascii="Arial" w:hAnsi="Arial" w:cs="Arial"/>
          <w:b/>
          <w:bCs/>
        </w:rPr>
        <w:tab/>
        <w:t>Movement Between Funding Blocks</w:t>
      </w:r>
    </w:p>
    <w:p w14:paraId="284AF6FD" w14:textId="77777777" w:rsidR="006B5A8C" w:rsidRPr="002517C1" w:rsidRDefault="006B5A8C" w:rsidP="006B5A8C">
      <w:pPr>
        <w:rPr>
          <w:rFonts w:ascii="Arial" w:hAnsi="Arial" w:cs="Arial"/>
        </w:rPr>
      </w:pPr>
    </w:p>
    <w:p w14:paraId="5EF20E44" w14:textId="09A5D0EA" w:rsidR="006B5A8C" w:rsidRPr="00F869FA" w:rsidRDefault="006B5A8C" w:rsidP="006B5A8C">
      <w:pPr>
        <w:rPr>
          <w:rFonts w:ascii="Arial" w:hAnsi="Arial" w:cs="Arial"/>
          <w:highlight w:val="yellow"/>
        </w:rPr>
      </w:pPr>
      <w:r w:rsidRPr="002517C1">
        <w:rPr>
          <w:rFonts w:ascii="Arial" w:hAnsi="Arial" w:cs="Arial"/>
        </w:rPr>
        <w:t>Movement of 0.5% from the Schools Block to the High Needs Block was agreed by Schools Forum at the November 202</w:t>
      </w:r>
      <w:r w:rsidR="002517C1" w:rsidRPr="002517C1">
        <w:rPr>
          <w:rFonts w:ascii="Arial" w:hAnsi="Arial" w:cs="Arial"/>
        </w:rPr>
        <w:t>2</w:t>
      </w:r>
      <w:r w:rsidRPr="002517C1">
        <w:rPr>
          <w:rFonts w:ascii="Arial" w:hAnsi="Arial" w:cs="Arial"/>
        </w:rPr>
        <w:t xml:space="preserve"> meeting with the intention of alleviating the forecast pressure on the High Needs Block caused by the demand on high-cost specialist placements, the increase in high needs in the school population and the proportion of placements in independent provision as opposed to state-maintained provision.  Based on the updated DSG allocation for </w:t>
      </w:r>
      <w:r w:rsidR="00A43941">
        <w:rPr>
          <w:rFonts w:ascii="Arial" w:hAnsi="Arial" w:cs="Arial"/>
        </w:rPr>
        <w:t>2023-24</w:t>
      </w:r>
      <w:r w:rsidRPr="002517C1">
        <w:rPr>
          <w:rFonts w:ascii="Arial" w:hAnsi="Arial" w:cs="Arial"/>
        </w:rPr>
        <w:t xml:space="preserve"> this is a one-off movement of approximately </w:t>
      </w:r>
      <w:r w:rsidRPr="00267BE1">
        <w:rPr>
          <w:rFonts w:ascii="Arial" w:hAnsi="Arial" w:cs="Arial"/>
        </w:rPr>
        <w:t>£</w:t>
      </w:r>
      <w:r w:rsidR="00C93DCC" w:rsidRPr="00267BE1">
        <w:rPr>
          <w:rFonts w:ascii="Arial" w:hAnsi="Arial" w:cs="Arial"/>
        </w:rPr>
        <w:t>3.005</w:t>
      </w:r>
      <w:r w:rsidRPr="00267BE1">
        <w:rPr>
          <w:rFonts w:ascii="Arial" w:hAnsi="Arial" w:cs="Arial"/>
        </w:rPr>
        <w:t>m.  Following that transfer the new totals will be £</w:t>
      </w:r>
      <w:r w:rsidR="006F5B49" w:rsidRPr="00267BE1">
        <w:rPr>
          <w:rFonts w:ascii="Arial" w:hAnsi="Arial" w:cs="Arial"/>
        </w:rPr>
        <w:t>598</w:t>
      </w:r>
      <w:r w:rsidRPr="00267BE1">
        <w:rPr>
          <w:rFonts w:ascii="Arial" w:hAnsi="Arial" w:cs="Arial"/>
        </w:rPr>
        <w:t>.</w:t>
      </w:r>
      <w:r w:rsidR="006F5B49" w:rsidRPr="00267BE1">
        <w:rPr>
          <w:rFonts w:ascii="Arial" w:hAnsi="Arial" w:cs="Arial"/>
        </w:rPr>
        <w:t>027</w:t>
      </w:r>
      <w:r w:rsidRPr="00267BE1">
        <w:rPr>
          <w:rFonts w:ascii="Arial" w:hAnsi="Arial" w:cs="Arial"/>
        </w:rPr>
        <w:t>m for Schools Block and £1</w:t>
      </w:r>
      <w:r w:rsidR="00267BE1" w:rsidRPr="00267BE1">
        <w:rPr>
          <w:rFonts w:ascii="Arial" w:hAnsi="Arial" w:cs="Arial"/>
        </w:rPr>
        <w:t>38.217</w:t>
      </w:r>
      <w:r w:rsidRPr="00267BE1">
        <w:rPr>
          <w:rFonts w:ascii="Arial" w:hAnsi="Arial" w:cs="Arial"/>
        </w:rPr>
        <w:t>m for High Needs Block.</w:t>
      </w:r>
    </w:p>
    <w:p w14:paraId="071A360D" w14:textId="77777777" w:rsidR="006B5A8C" w:rsidRPr="00F869FA" w:rsidRDefault="006B5A8C" w:rsidP="006B5A8C">
      <w:pPr>
        <w:rPr>
          <w:rFonts w:ascii="Arial" w:hAnsi="Arial" w:cs="Arial"/>
          <w:highlight w:val="yellow"/>
        </w:rPr>
      </w:pPr>
    </w:p>
    <w:p w14:paraId="1398410E" w14:textId="0AA83AFE" w:rsidR="006B5A8C" w:rsidRPr="00F869FA" w:rsidRDefault="006B5A8C" w:rsidP="006B5A8C">
      <w:pPr>
        <w:rPr>
          <w:rFonts w:ascii="Arial" w:hAnsi="Arial" w:cs="Arial"/>
          <w:highlight w:val="yellow"/>
        </w:rPr>
      </w:pPr>
      <w:r w:rsidRPr="00D77A24">
        <w:rPr>
          <w:rFonts w:ascii="Arial" w:hAnsi="Arial" w:cs="Arial"/>
        </w:rPr>
        <w:t>The Local Authority submitted a disapplication of regulations request to the Secretary of State in November 202</w:t>
      </w:r>
      <w:r w:rsidR="002517C1" w:rsidRPr="00D77A24">
        <w:rPr>
          <w:rFonts w:ascii="Arial" w:hAnsi="Arial" w:cs="Arial"/>
        </w:rPr>
        <w:t>2</w:t>
      </w:r>
      <w:r w:rsidRPr="00D77A24">
        <w:rPr>
          <w:rFonts w:ascii="Arial" w:hAnsi="Arial" w:cs="Arial"/>
        </w:rPr>
        <w:t xml:space="preserve"> requesting a further 1% </w:t>
      </w:r>
      <w:r w:rsidRPr="00AC4250">
        <w:rPr>
          <w:rFonts w:ascii="Arial" w:hAnsi="Arial" w:cs="Arial"/>
        </w:rPr>
        <w:t xml:space="preserve">transfer from the Schools Block to the High Needs Block in </w:t>
      </w:r>
      <w:r w:rsidR="00A43941" w:rsidRPr="00AC4250">
        <w:rPr>
          <w:rFonts w:ascii="Arial" w:hAnsi="Arial" w:cs="Arial"/>
        </w:rPr>
        <w:t>2023-24</w:t>
      </w:r>
      <w:r w:rsidRPr="00AC4250">
        <w:rPr>
          <w:rFonts w:ascii="Arial" w:hAnsi="Arial" w:cs="Arial"/>
        </w:rPr>
        <w:t>, equivalent to approximately £</w:t>
      </w:r>
      <w:r w:rsidR="00AC4250" w:rsidRPr="00AC4250">
        <w:rPr>
          <w:rFonts w:ascii="Arial" w:hAnsi="Arial" w:cs="Arial"/>
        </w:rPr>
        <w:t>6.010</w:t>
      </w:r>
      <w:r w:rsidRPr="00AC4250">
        <w:rPr>
          <w:rFonts w:ascii="Arial" w:hAnsi="Arial" w:cs="Arial"/>
        </w:rPr>
        <w:t xml:space="preserve">m.  </w:t>
      </w:r>
      <w:r w:rsidRPr="00D77A24">
        <w:rPr>
          <w:rFonts w:ascii="Arial" w:hAnsi="Arial" w:cs="Arial"/>
        </w:rPr>
        <w:t>The Local Authority has not yet received a response from the Secretary of State but</w:t>
      </w:r>
      <w:r w:rsidR="00C17AF2">
        <w:rPr>
          <w:rFonts w:ascii="Arial" w:hAnsi="Arial" w:cs="Arial"/>
        </w:rPr>
        <w:t>,</w:t>
      </w:r>
      <w:r w:rsidRPr="00D77A24">
        <w:rPr>
          <w:rFonts w:ascii="Arial" w:hAnsi="Arial" w:cs="Arial"/>
        </w:rPr>
        <w:t xml:space="preserve"> for </w:t>
      </w:r>
      <w:r w:rsidR="005C47D0">
        <w:rPr>
          <w:rFonts w:ascii="Arial" w:hAnsi="Arial" w:cs="Arial"/>
        </w:rPr>
        <w:t>the purposes of this report,</w:t>
      </w:r>
      <w:r w:rsidRPr="00D77A24">
        <w:rPr>
          <w:rFonts w:ascii="Arial" w:hAnsi="Arial" w:cs="Arial"/>
        </w:rPr>
        <w:t xml:space="preserve"> the DSG Management Plan update includes the requested transfer.  If the disapplication request is subsequently refused, the forecast DSG deficit will increase </w:t>
      </w:r>
      <w:proofErr w:type="gramStart"/>
      <w:r w:rsidRPr="00D77A24">
        <w:rPr>
          <w:rFonts w:ascii="Arial" w:hAnsi="Arial" w:cs="Arial"/>
        </w:rPr>
        <w:t>accordingly</w:t>
      </w:r>
      <w:proofErr w:type="gramEnd"/>
      <w:r w:rsidR="00E57F32">
        <w:rPr>
          <w:rFonts w:ascii="Arial" w:hAnsi="Arial" w:cs="Arial"/>
        </w:rPr>
        <w:t xml:space="preserve"> and the multi-year plan will require review</w:t>
      </w:r>
      <w:r w:rsidRPr="00D77A24">
        <w:rPr>
          <w:rFonts w:ascii="Arial" w:hAnsi="Arial" w:cs="Arial"/>
        </w:rPr>
        <w:t>.</w:t>
      </w:r>
    </w:p>
    <w:p w14:paraId="53046FA1" w14:textId="77777777" w:rsidR="006B5A8C" w:rsidRPr="00F869FA" w:rsidRDefault="006B5A8C" w:rsidP="006B5A8C">
      <w:pPr>
        <w:rPr>
          <w:rFonts w:ascii="Arial" w:hAnsi="Arial" w:cs="Arial"/>
          <w:highlight w:val="yellow"/>
        </w:rPr>
      </w:pPr>
    </w:p>
    <w:p w14:paraId="3CF24015" w14:textId="4F80C24E" w:rsidR="006B5A8C" w:rsidRPr="002B3D08" w:rsidRDefault="00D94A7E" w:rsidP="006B5A8C">
      <w:pPr>
        <w:rPr>
          <w:rFonts w:ascii="Arial" w:hAnsi="Arial" w:cs="Arial"/>
          <w:b/>
          <w:bCs/>
        </w:rPr>
      </w:pPr>
      <w:r w:rsidRPr="002B3D08">
        <w:rPr>
          <w:rFonts w:ascii="Arial" w:hAnsi="Arial" w:cs="Arial"/>
          <w:b/>
          <w:bCs/>
        </w:rPr>
        <w:t>2.4</w:t>
      </w:r>
      <w:r w:rsidR="006B5A8C" w:rsidRPr="002B3D08">
        <w:rPr>
          <w:rFonts w:ascii="Arial" w:hAnsi="Arial" w:cs="Arial"/>
          <w:b/>
          <w:bCs/>
        </w:rPr>
        <w:tab/>
        <w:t>Existing DSG Cumulative Deficit</w:t>
      </w:r>
    </w:p>
    <w:p w14:paraId="34912BFD" w14:textId="77777777" w:rsidR="006B5A8C" w:rsidRPr="002B3D08" w:rsidRDefault="006B5A8C" w:rsidP="006B5A8C">
      <w:pPr>
        <w:rPr>
          <w:rFonts w:ascii="Arial" w:hAnsi="Arial" w:cs="Arial"/>
        </w:rPr>
      </w:pPr>
    </w:p>
    <w:p w14:paraId="65BC2D07" w14:textId="5B486428" w:rsidR="00D60FC8" w:rsidRPr="00057AF0" w:rsidRDefault="00D60FC8" w:rsidP="00D60FC8">
      <w:pPr>
        <w:spacing w:after="120"/>
        <w:rPr>
          <w:rFonts w:ascii="Arial" w:hAnsi="Arial" w:cs="Arial"/>
        </w:rPr>
      </w:pPr>
      <w:r w:rsidRPr="00D60FC8">
        <w:rPr>
          <w:rFonts w:ascii="Arial" w:hAnsi="Arial" w:cs="Arial"/>
        </w:rPr>
        <w:t xml:space="preserve">Norfolk is carrying an outstanding DSG deficit </w:t>
      </w:r>
      <w:r w:rsidRPr="00057AF0">
        <w:rPr>
          <w:rFonts w:ascii="Arial" w:hAnsi="Arial" w:cs="Arial"/>
        </w:rPr>
        <w:t>of £53.976m from previous financial years as a result of pressures within the High Needs Block.  A further DSG deficit of £</w:t>
      </w:r>
      <w:r w:rsidR="009E0B7E" w:rsidRPr="00057AF0">
        <w:rPr>
          <w:rFonts w:ascii="Arial" w:hAnsi="Arial" w:cs="Arial"/>
        </w:rPr>
        <w:t>19.6</w:t>
      </w:r>
      <w:r w:rsidRPr="00057AF0">
        <w:rPr>
          <w:rFonts w:ascii="Arial" w:hAnsi="Arial" w:cs="Arial"/>
        </w:rPr>
        <w:t>m for 2022/23 is forecast based upon the latest information available.  The overall DSG starting position for 2023/24 is, therefore, forecast to be a deficit of £</w:t>
      </w:r>
      <w:r w:rsidR="00057AF0" w:rsidRPr="00057AF0">
        <w:rPr>
          <w:rFonts w:ascii="Arial" w:hAnsi="Arial" w:cs="Arial"/>
        </w:rPr>
        <w:t>73.6</w:t>
      </w:r>
      <w:r w:rsidRPr="00057AF0">
        <w:rPr>
          <w:rFonts w:ascii="Arial" w:hAnsi="Arial" w:cs="Arial"/>
        </w:rPr>
        <w:t>m.</w:t>
      </w:r>
    </w:p>
    <w:p w14:paraId="7FC5F989" w14:textId="77777777" w:rsidR="006B5A8C" w:rsidRPr="00F869FA" w:rsidRDefault="006B5A8C" w:rsidP="00297AFB">
      <w:pPr>
        <w:rPr>
          <w:rFonts w:ascii="Arial" w:hAnsi="Arial" w:cs="Arial"/>
          <w:b/>
          <w:bCs/>
          <w:highlight w:val="yellow"/>
        </w:rPr>
      </w:pPr>
    </w:p>
    <w:p w14:paraId="69485099" w14:textId="3DAF284B" w:rsidR="00297AFB" w:rsidRPr="003B73E9" w:rsidRDefault="00D94A7E" w:rsidP="00297AFB">
      <w:pPr>
        <w:rPr>
          <w:rFonts w:ascii="Arial" w:hAnsi="Arial" w:cs="Arial"/>
          <w:b/>
          <w:bCs/>
        </w:rPr>
      </w:pPr>
      <w:r w:rsidRPr="003B73E9">
        <w:rPr>
          <w:rFonts w:ascii="Arial" w:hAnsi="Arial" w:cs="Arial"/>
          <w:b/>
          <w:bCs/>
        </w:rPr>
        <w:t>2.5</w:t>
      </w:r>
      <w:r w:rsidR="00297AFB" w:rsidRPr="003B73E9">
        <w:rPr>
          <w:rFonts w:ascii="Arial" w:hAnsi="Arial" w:cs="Arial"/>
          <w:b/>
          <w:bCs/>
        </w:rPr>
        <w:tab/>
        <w:t>Other Schools Grants</w:t>
      </w:r>
    </w:p>
    <w:p w14:paraId="74C94AD2" w14:textId="77777777" w:rsidR="00297AFB" w:rsidRPr="003B73E9" w:rsidRDefault="00297AFB" w:rsidP="00901244">
      <w:pPr>
        <w:rPr>
          <w:rFonts w:ascii="Arial" w:hAnsi="Arial" w:cs="Arial"/>
          <w:color w:val="0B0C0C"/>
          <w:shd w:val="clear" w:color="auto" w:fill="FFFFFF"/>
        </w:rPr>
      </w:pPr>
    </w:p>
    <w:p w14:paraId="675CDA6D" w14:textId="0254159C" w:rsidR="00297AFB" w:rsidRPr="003B73E9" w:rsidRDefault="00D94A7E" w:rsidP="00297AFB">
      <w:pPr>
        <w:rPr>
          <w:rFonts w:ascii="Arial" w:hAnsi="Arial" w:cs="Arial"/>
          <w:b/>
        </w:rPr>
      </w:pPr>
      <w:r w:rsidRPr="003B73E9">
        <w:rPr>
          <w:rFonts w:ascii="Arial" w:hAnsi="Arial" w:cs="Arial"/>
          <w:b/>
          <w:bCs/>
        </w:rPr>
        <w:t>2.5</w:t>
      </w:r>
      <w:r w:rsidR="00D4131E" w:rsidRPr="003B73E9">
        <w:rPr>
          <w:rFonts w:ascii="Arial" w:hAnsi="Arial" w:cs="Arial"/>
          <w:b/>
        </w:rPr>
        <w:t>.1</w:t>
      </w:r>
      <w:r w:rsidR="00297AFB" w:rsidRPr="003B73E9">
        <w:rPr>
          <w:rFonts w:ascii="Arial" w:hAnsi="Arial" w:cs="Arial"/>
          <w:b/>
        </w:rPr>
        <w:tab/>
        <w:t>Pupil Premium</w:t>
      </w:r>
    </w:p>
    <w:p w14:paraId="70348194" w14:textId="77777777" w:rsidR="00297AFB" w:rsidRPr="00F869FA" w:rsidRDefault="00297AFB" w:rsidP="00297AFB">
      <w:pPr>
        <w:rPr>
          <w:rFonts w:ascii="Arial" w:hAnsi="Arial" w:cs="Arial"/>
          <w:highlight w:val="yellow"/>
          <w:lang w:val="en" w:eastAsia="en-GB"/>
        </w:rPr>
      </w:pPr>
    </w:p>
    <w:p w14:paraId="295BFFE1" w14:textId="709604F3" w:rsidR="00297AFB" w:rsidRPr="00DE7ADD" w:rsidRDefault="00297AFB" w:rsidP="00297AFB">
      <w:pPr>
        <w:rPr>
          <w:rFonts w:ascii="Arial" w:hAnsi="Arial" w:cs="Arial"/>
          <w:lang w:val="en" w:eastAsia="en-GB"/>
        </w:rPr>
      </w:pPr>
      <w:r w:rsidRPr="00DE7ADD">
        <w:rPr>
          <w:rFonts w:ascii="Arial" w:hAnsi="Arial" w:cs="Arial"/>
          <w:lang w:val="en" w:eastAsia="en-GB"/>
        </w:rPr>
        <w:t xml:space="preserve">The DfE has stated that Pupil Premium funding will increase </w:t>
      </w:r>
      <w:r w:rsidR="00DE7ADD" w:rsidRPr="00DE7ADD">
        <w:rPr>
          <w:rFonts w:ascii="Arial" w:hAnsi="Arial" w:cs="Arial"/>
          <w:lang w:val="en" w:eastAsia="en-GB"/>
        </w:rPr>
        <w:t>by 5%</w:t>
      </w:r>
      <w:r w:rsidRPr="00DE7ADD">
        <w:rPr>
          <w:rFonts w:ascii="Arial" w:hAnsi="Arial" w:cs="Arial"/>
          <w:lang w:val="en" w:eastAsia="en-GB"/>
        </w:rPr>
        <w:t xml:space="preserve"> for </w:t>
      </w:r>
      <w:r w:rsidR="00A4319F" w:rsidRPr="00DE7ADD">
        <w:rPr>
          <w:rFonts w:ascii="Arial" w:hAnsi="Arial" w:cs="Arial"/>
          <w:lang w:val="en" w:eastAsia="en-GB"/>
        </w:rPr>
        <w:t>202</w:t>
      </w:r>
      <w:r w:rsidR="00DE7ADD" w:rsidRPr="00DE7ADD">
        <w:rPr>
          <w:rFonts w:ascii="Arial" w:hAnsi="Arial" w:cs="Arial"/>
          <w:lang w:val="en" w:eastAsia="en-GB"/>
        </w:rPr>
        <w:t>3</w:t>
      </w:r>
      <w:r w:rsidR="00A4319F" w:rsidRPr="00DE7ADD">
        <w:rPr>
          <w:rFonts w:ascii="Arial" w:hAnsi="Arial" w:cs="Arial"/>
          <w:lang w:val="en" w:eastAsia="en-GB"/>
        </w:rPr>
        <w:t>-2</w:t>
      </w:r>
      <w:r w:rsidR="00DE7ADD" w:rsidRPr="00DE7ADD">
        <w:rPr>
          <w:rFonts w:ascii="Arial" w:hAnsi="Arial" w:cs="Arial"/>
          <w:lang w:val="en" w:eastAsia="en-GB"/>
        </w:rPr>
        <w:t>4</w:t>
      </w:r>
      <w:r w:rsidRPr="00DE7ADD">
        <w:rPr>
          <w:rFonts w:ascii="Arial" w:hAnsi="Arial" w:cs="Arial"/>
          <w:lang w:val="en" w:eastAsia="en-GB"/>
        </w:rPr>
        <w:t>, and that the new rates will be:</w:t>
      </w:r>
    </w:p>
    <w:p w14:paraId="497430FB" w14:textId="77777777" w:rsidR="00297AFB" w:rsidRPr="00F869FA" w:rsidRDefault="00297AFB" w:rsidP="00297AFB">
      <w:pPr>
        <w:rPr>
          <w:rFonts w:ascii="Arial" w:hAnsi="Arial" w:cs="Arial"/>
          <w:highlight w:val="yellow"/>
          <w:lang w:val="en" w:eastAsia="en-GB"/>
        </w:rPr>
      </w:pPr>
      <w:r w:rsidRPr="00F869FA">
        <w:rPr>
          <w:rFonts w:ascii="Arial" w:hAnsi="Arial" w:cs="Arial"/>
          <w:highlight w:val="yellow"/>
          <w:lang w:val="en" w:eastAsia="en-GB"/>
        </w:rPr>
        <w:t xml:space="preserve"> </w:t>
      </w:r>
    </w:p>
    <w:p w14:paraId="0987E9A6" w14:textId="1F9E85CC" w:rsidR="00297AFB" w:rsidRPr="00323159" w:rsidRDefault="00297AFB" w:rsidP="00297AFB">
      <w:pPr>
        <w:rPr>
          <w:rFonts w:ascii="Arial" w:hAnsi="Arial" w:cs="Arial"/>
          <w:lang w:val="en" w:eastAsia="en-GB"/>
        </w:rPr>
      </w:pPr>
      <w:r w:rsidRPr="00323159">
        <w:rPr>
          <w:rFonts w:ascii="Arial" w:hAnsi="Arial" w:cs="Arial"/>
          <w:lang w:val="en" w:eastAsia="en-GB"/>
        </w:rPr>
        <w:t>Primary FSM6 pupils: £1,</w:t>
      </w:r>
      <w:r w:rsidR="00323159" w:rsidRPr="00323159">
        <w:rPr>
          <w:rFonts w:ascii="Arial" w:hAnsi="Arial" w:cs="Arial"/>
          <w:lang w:val="en" w:eastAsia="en-GB"/>
        </w:rPr>
        <w:t>455</w:t>
      </w:r>
    </w:p>
    <w:p w14:paraId="3E1B3E53" w14:textId="3BB0D5B5" w:rsidR="00297AFB" w:rsidRPr="00323159" w:rsidRDefault="00297AFB" w:rsidP="00297AFB">
      <w:pPr>
        <w:rPr>
          <w:rFonts w:ascii="Arial" w:hAnsi="Arial" w:cs="Arial"/>
          <w:lang w:val="en" w:eastAsia="en-GB"/>
        </w:rPr>
      </w:pPr>
      <w:r w:rsidRPr="00323159">
        <w:rPr>
          <w:rFonts w:ascii="Arial" w:hAnsi="Arial" w:cs="Arial"/>
          <w:lang w:val="en" w:eastAsia="en-GB"/>
        </w:rPr>
        <w:t>Secondary FSM6 pupils: £</w:t>
      </w:r>
      <w:r w:rsidR="00323159" w:rsidRPr="00323159">
        <w:rPr>
          <w:rFonts w:ascii="Arial" w:hAnsi="Arial" w:cs="Arial"/>
          <w:lang w:val="en" w:eastAsia="en-GB"/>
        </w:rPr>
        <w:t>1,035</w:t>
      </w:r>
    </w:p>
    <w:p w14:paraId="3632D8C2" w14:textId="4E26202E" w:rsidR="00297AFB" w:rsidRPr="00323159" w:rsidRDefault="00297AFB" w:rsidP="00297AFB">
      <w:pPr>
        <w:rPr>
          <w:rFonts w:ascii="Arial" w:hAnsi="Arial" w:cs="Arial"/>
          <w:lang w:val="en" w:eastAsia="en-GB"/>
        </w:rPr>
      </w:pPr>
      <w:r w:rsidRPr="00323159">
        <w:rPr>
          <w:rFonts w:ascii="Arial" w:hAnsi="Arial" w:cs="Arial"/>
          <w:lang w:val="en" w:eastAsia="en-GB"/>
        </w:rPr>
        <w:t>Looked-after children: £2,</w:t>
      </w:r>
      <w:r w:rsidR="00323159" w:rsidRPr="00323159">
        <w:rPr>
          <w:rFonts w:ascii="Arial" w:hAnsi="Arial" w:cs="Arial"/>
          <w:lang w:val="en" w:eastAsia="en-GB"/>
        </w:rPr>
        <w:t>530</w:t>
      </w:r>
    </w:p>
    <w:p w14:paraId="57B265D0" w14:textId="40B4267D" w:rsidR="00297AFB" w:rsidRPr="00163AD9" w:rsidRDefault="00297AFB" w:rsidP="00297AFB">
      <w:pPr>
        <w:rPr>
          <w:rFonts w:ascii="Arial" w:hAnsi="Arial" w:cs="Arial"/>
          <w:lang w:val="en" w:eastAsia="en-GB"/>
        </w:rPr>
      </w:pPr>
      <w:r w:rsidRPr="00163AD9">
        <w:rPr>
          <w:rFonts w:ascii="Arial" w:hAnsi="Arial" w:cs="Arial"/>
          <w:lang w:val="en" w:eastAsia="en-GB"/>
        </w:rPr>
        <w:t>Children who have ceased to be looked-after: £2,</w:t>
      </w:r>
      <w:r w:rsidR="00323159" w:rsidRPr="00163AD9">
        <w:rPr>
          <w:rFonts w:ascii="Arial" w:hAnsi="Arial" w:cs="Arial"/>
          <w:lang w:val="en" w:eastAsia="en-GB"/>
        </w:rPr>
        <w:t>530</w:t>
      </w:r>
    </w:p>
    <w:p w14:paraId="71F8C682" w14:textId="09EC6A95" w:rsidR="00297AFB" w:rsidRPr="00163AD9" w:rsidRDefault="00297AFB" w:rsidP="00297AFB">
      <w:pPr>
        <w:rPr>
          <w:rFonts w:ascii="Arial" w:hAnsi="Arial" w:cs="Arial"/>
          <w:lang w:val="en" w:eastAsia="en-GB"/>
        </w:rPr>
      </w:pPr>
      <w:r w:rsidRPr="00163AD9">
        <w:rPr>
          <w:rFonts w:ascii="Arial" w:hAnsi="Arial" w:cs="Arial"/>
          <w:lang w:val="en" w:eastAsia="en-GB"/>
        </w:rPr>
        <w:t>Service children: £3</w:t>
      </w:r>
      <w:r w:rsidR="00163AD9" w:rsidRPr="00163AD9">
        <w:rPr>
          <w:rFonts w:ascii="Arial" w:hAnsi="Arial" w:cs="Arial"/>
          <w:lang w:val="en" w:eastAsia="en-GB"/>
        </w:rPr>
        <w:t>35</w:t>
      </w:r>
    </w:p>
    <w:p w14:paraId="6FE46348" w14:textId="77777777" w:rsidR="00297AFB" w:rsidRPr="00F869FA" w:rsidRDefault="00297AFB" w:rsidP="00297AFB">
      <w:pPr>
        <w:rPr>
          <w:rFonts w:ascii="Arial" w:hAnsi="Arial" w:cs="Arial"/>
          <w:highlight w:val="yellow"/>
          <w:lang w:val="en" w:eastAsia="en-GB"/>
        </w:rPr>
      </w:pPr>
    </w:p>
    <w:p w14:paraId="27C1BD50" w14:textId="144D368B" w:rsidR="00297AFB" w:rsidRPr="00163AD9" w:rsidRDefault="00297AFB" w:rsidP="00297AFB">
      <w:pPr>
        <w:rPr>
          <w:rFonts w:ascii="Arial" w:hAnsi="Arial" w:cs="Arial"/>
          <w:lang w:val="en" w:eastAsia="en-GB"/>
        </w:rPr>
      </w:pPr>
      <w:r w:rsidRPr="00163AD9">
        <w:rPr>
          <w:rFonts w:ascii="Arial" w:hAnsi="Arial" w:cs="Arial"/>
          <w:lang w:val="en" w:eastAsia="en-GB"/>
        </w:rPr>
        <w:t>The DfE will publish allocations and conditions of grant in spring 202</w:t>
      </w:r>
      <w:r w:rsidR="00163AD9" w:rsidRPr="00163AD9">
        <w:rPr>
          <w:rFonts w:ascii="Arial" w:hAnsi="Arial" w:cs="Arial"/>
          <w:lang w:val="en" w:eastAsia="en-GB"/>
        </w:rPr>
        <w:t>3</w:t>
      </w:r>
      <w:r w:rsidRPr="00163AD9">
        <w:rPr>
          <w:rFonts w:ascii="Arial" w:hAnsi="Arial" w:cs="Arial"/>
          <w:lang w:val="en" w:eastAsia="en-GB"/>
        </w:rPr>
        <w:t>.</w:t>
      </w:r>
    </w:p>
    <w:p w14:paraId="4E887F27" w14:textId="77777777" w:rsidR="00297AFB" w:rsidRPr="00F869FA" w:rsidRDefault="00297AFB" w:rsidP="00297AFB">
      <w:pPr>
        <w:rPr>
          <w:rFonts w:ascii="Arial" w:hAnsi="Arial" w:cs="Arial"/>
          <w:highlight w:val="yellow"/>
          <w:lang w:val="en" w:eastAsia="en-GB"/>
        </w:rPr>
      </w:pPr>
    </w:p>
    <w:p w14:paraId="6582D3E2" w14:textId="78C96F36" w:rsidR="00297AFB" w:rsidRPr="00F869FA" w:rsidRDefault="00D94A7E" w:rsidP="00297AFB">
      <w:pPr>
        <w:rPr>
          <w:rFonts w:ascii="Arial" w:hAnsi="Arial" w:cs="Arial"/>
          <w:b/>
          <w:bCs/>
          <w:highlight w:val="yellow"/>
        </w:rPr>
      </w:pPr>
      <w:r w:rsidRPr="003B73E9">
        <w:rPr>
          <w:rFonts w:ascii="Arial" w:hAnsi="Arial" w:cs="Arial"/>
          <w:b/>
          <w:bCs/>
        </w:rPr>
        <w:t>2.5</w:t>
      </w:r>
      <w:r w:rsidR="00D4131E" w:rsidRPr="003B73E9">
        <w:rPr>
          <w:rFonts w:ascii="Arial" w:hAnsi="Arial" w:cs="Arial"/>
          <w:b/>
          <w:bCs/>
        </w:rPr>
        <w:t>.</w:t>
      </w:r>
      <w:r w:rsidR="00297AFB" w:rsidRPr="003B73E9" w:rsidDel="00D4131E">
        <w:rPr>
          <w:rFonts w:ascii="Arial" w:hAnsi="Arial" w:cs="Arial"/>
          <w:b/>
          <w:bCs/>
        </w:rPr>
        <w:t>2</w:t>
      </w:r>
      <w:r w:rsidR="00297AFB" w:rsidRPr="003B73E9">
        <w:rPr>
          <w:rFonts w:ascii="Arial" w:hAnsi="Arial" w:cs="Arial"/>
          <w:b/>
          <w:bCs/>
        </w:rPr>
        <w:tab/>
        <w:t>Other grants for 202</w:t>
      </w:r>
      <w:r w:rsidR="003B73E9" w:rsidRPr="003B73E9">
        <w:rPr>
          <w:rFonts w:ascii="Arial" w:hAnsi="Arial" w:cs="Arial"/>
          <w:b/>
          <w:bCs/>
        </w:rPr>
        <w:t>3</w:t>
      </w:r>
      <w:r w:rsidR="00297AFB" w:rsidRPr="003B73E9">
        <w:rPr>
          <w:rFonts w:ascii="Arial" w:hAnsi="Arial" w:cs="Arial"/>
          <w:b/>
          <w:bCs/>
        </w:rPr>
        <w:t xml:space="preserve"> to 202</w:t>
      </w:r>
      <w:r w:rsidR="003B73E9" w:rsidRPr="003B73E9">
        <w:rPr>
          <w:rFonts w:ascii="Arial" w:hAnsi="Arial" w:cs="Arial"/>
          <w:b/>
          <w:bCs/>
        </w:rPr>
        <w:t>4</w:t>
      </w:r>
    </w:p>
    <w:p w14:paraId="67076156" w14:textId="77777777" w:rsidR="00297AFB" w:rsidRPr="00F869FA" w:rsidRDefault="00297AFB" w:rsidP="00297AFB">
      <w:pPr>
        <w:rPr>
          <w:rFonts w:ascii="Arial" w:hAnsi="Arial" w:cs="Arial"/>
          <w:b/>
          <w:bCs/>
          <w:highlight w:val="yellow"/>
        </w:rPr>
      </w:pPr>
    </w:p>
    <w:p w14:paraId="212E1116" w14:textId="301F98A5" w:rsidR="00297AFB" w:rsidRPr="002028E8" w:rsidRDefault="00297AFB" w:rsidP="00297AFB">
      <w:pPr>
        <w:rPr>
          <w:rFonts w:ascii="Arial" w:hAnsi="Arial" w:cs="Arial"/>
        </w:rPr>
      </w:pPr>
      <w:r w:rsidRPr="002028E8">
        <w:rPr>
          <w:rFonts w:ascii="Arial" w:hAnsi="Arial" w:cs="Arial"/>
        </w:rPr>
        <w:t>The DfE have s</w:t>
      </w:r>
      <w:r w:rsidR="002028E8">
        <w:rPr>
          <w:rFonts w:ascii="Arial" w:hAnsi="Arial" w:cs="Arial"/>
        </w:rPr>
        <w:t>tated</w:t>
      </w:r>
      <w:r w:rsidRPr="002028E8">
        <w:rPr>
          <w:rFonts w:ascii="Arial" w:hAnsi="Arial" w:cs="Arial"/>
        </w:rPr>
        <w:t xml:space="preserve"> that information about other grants for 202</w:t>
      </w:r>
      <w:r w:rsidR="002028E8" w:rsidRPr="002028E8">
        <w:rPr>
          <w:rFonts w:ascii="Arial" w:hAnsi="Arial" w:cs="Arial"/>
        </w:rPr>
        <w:t>3</w:t>
      </w:r>
      <w:r w:rsidRPr="002028E8">
        <w:rPr>
          <w:rFonts w:ascii="Arial" w:hAnsi="Arial" w:cs="Arial"/>
        </w:rPr>
        <w:t xml:space="preserve"> to 202</w:t>
      </w:r>
      <w:r w:rsidR="002028E8" w:rsidRPr="002028E8">
        <w:rPr>
          <w:rFonts w:ascii="Arial" w:hAnsi="Arial" w:cs="Arial"/>
        </w:rPr>
        <w:t>4</w:t>
      </w:r>
      <w:r w:rsidRPr="002028E8">
        <w:rPr>
          <w:rFonts w:ascii="Arial" w:hAnsi="Arial" w:cs="Arial"/>
        </w:rPr>
        <w:t xml:space="preserve"> will be issued during 202</w:t>
      </w:r>
      <w:r w:rsidR="002028E8" w:rsidRPr="002028E8">
        <w:rPr>
          <w:rFonts w:ascii="Arial" w:hAnsi="Arial" w:cs="Arial"/>
        </w:rPr>
        <w:t>3</w:t>
      </w:r>
      <w:r w:rsidRPr="002028E8">
        <w:rPr>
          <w:rFonts w:ascii="Arial" w:hAnsi="Arial" w:cs="Arial"/>
        </w:rPr>
        <w:t>.</w:t>
      </w:r>
    </w:p>
    <w:p w14:paraId="633BFC9F" w14:textId="11FAAE23" w:rsidR="00297AFB" w:rsidRPr="00F869FA" w:rsidRDefault="00297AFB" w:rsidP="00901244">
      <w:pPr>
        <w:rPr>
          <w:rFonts w:ascii="Arial" w:hAnsi="Arial" w:cs="Arial"/>
          <w:color w:val="0B0C0C"/>
          <w:highlight w:val="yellow"/>
          <w:shd w:val="clear" w:color="auto" w:fill="FFFFFF"/>
        </w:rPr>
      </w:pPr>
    </w:p>
    <w:p w14:paraId="58F7227F" w14:textId="77777777" w:rsidR="00297AFB" w:rsidRPr="00F869FA" w:rsidRDefault="00297AFB" w:rsidP="00901244">
      <w:pPr>
        <w:rPr>
          <w:rFonts w:ascii="Arial" w:hAnsi="Arial" w:cs="Arial"/>
          <w:color w:val="1F4E79" w:themeColor="accent5" w:themeShade="80"/>
          <w:highlight w:val="yellow"/>
          <w:shd w:val="clear" w:color="auto" w:fill="FFFFFF"/>
        </w:rPr>
      </w:pPr>
    </w:p>
    <w:p w14:paraId="7E10F4D2" w14:textId="77777777" w:rsidR="00712899" w:rsidRPr="003B73E9" w:rsidRDefault="00712899" w:rsidP="00712899">
      <w:pPr>
        <w:rPr>
          <w:rFonts w:ascii="Arial" w:hAnsi="Arial" w:cs="Arial"/>
          <w:b/>
          <w:color w:val="1F4E79" w:themeColor="accent5" w:themeShade="80"/>
          <w:szCs w:val="20"/>
        </w:rPr>
      </w:pPr>
      <w:r w:rsidRPr="003B73E9">
        <w:rPr>
          <w:rFonts w:ascii="Arial" w:hAnsi="Arial" w:cs="Arial"/>
          <w:b/>
          <w:color w:val="1F4E79" w:themeColor="accent5" w:themeShade="80"/>
          <w:szCs w:val="20"/>
        </w:rPr>
        <w:t xml:space="preserve">Schools Forum is asked to: </w:t>
      </w:r>
    </w:p>
    <w:p w14:paraId="6B8D1C44" w14:textId="77777777" w:rsidR="00712899" w:rsidRPr="003B73E9" w:rsidRDefault="00712899" w:rsidP="00712899">
      <w:pPr>
        <w:rPr>
          <w:rFonts w:ascii="Arial" w:hAnsi="Arial" w:cs="Arial"/>
          <w:b/>
          <w:color w:val="1F4E79" w:themeColor="accent5" w:themeShade="80"/>
          <w:szCs w:val="20"/>
        </w:rPr>
      </w:pPr>
    </w:p>
    <w:p w14:paraId="1F823FD6" w14:textId="4854D2F9" w:rsidR="00712899" w:rsidRPr="003B73E9" w:rsidRDefault="00712899" w:rsidP="003912FE">
      <w:pPr>
        <w:pStyle w:val="ListParagraph"/>
        <w:numPr>
          <w:ilvl w:val="0"/>
          <w:numId w:val="28"/>
        </w:numPr>
        <w:rPr>
          <w:rFonts w:ascii="Arial" w:hAnsi="Arial" w:cs="Arial"/>
          <w:b/>
          <w:color w:val="1F4E79" w:themeColor="accent5" w:themeShade="80"/>
          <w:szCs w:val="20"/>
        </w:rPr>
      </w:pPr>
      <w:r w:rsidRPr="003B73E9">
        <w:rPr>
          <w:rFonts w:ascii="Arial" w:hAnsi="Arial" w:cs="Arial"/>
          <w:b/>
          <w:color w:val="1F4E79" w:themeColor="accent5" w:themeShade="80"/>
          <w:szCs w:val="20"/>
        </w:rPr>
        <w:t xml:space="preserve">Note information provided for the </w:t>
      </w:r>
      <w:r w:rsidR="00A43941">
        <w:rPr>
          <w:rFonts w:ascii="Arial" w:hAnsi="Arial" w:cs="Arial"/>
          <w:b/>
          <w:color w:val="1F4E79" w:themeColor="accent5" w:themeShade="80"/>
          <w:szCs w:val="20"/>
        </w:rPr>
        <w:t>2023-24</w:t>
      </w:r>
      <w:r w:rsidRPr="003B73E9">
        <w:rPr>
          <w:rFonts w:ascii="Arial" w:hAnsi="Arial" w:cs="Arial"/>
          <w:b/>
          <w:color w:val="1F4E79" w:themeColor="accent5" w:themeShade="80"/>
          <w:szCs w:val="20"/>
        </w:rPr>
        <w:t xml:space="preserve"> Dedicated Schools Block allocations and other DfE grants.</w:t>
      </w:r>
    </w:p>
    <w:p w14:paraId="1AA5627E" w14:textId="6622E1F9" w:rsidR="00901244" w:rsidRPr="00F869FA" w:rsidRDefault="00901244" w:rsidP="00103704">
      <w:pPr>
        <w:rPr>
          <w:rFonts w:ascii="Arial" w:hAnsi="Arial" w:cs="Arial"/>
          <w:highlight w:val="yellow"/>
        </w:rPr>
      </w:pPr>
    </w:p>
    <w:p w14:paraId="15287DF9" w14:textId="75033F5E" w:rsidR="00297AFB" w:rsidRPr="00621B12" w:rsidRDefault="00AD4BE9" w:rsidP="00BC6865">
      <w:pPr>
        <w:pStyle w:val="Heading2"/>
      </w:pPr>
      <w:r w:rsidRPr="00621B12">
        <w:lastRenderedPageBreak/>
        <w:t>High Needs Block</w:t>
      </w:r>
    </w:p>
    <w:p w14:paraId="18A30292" w14:textId="40A65F00" w:rsidR="00AD4BE9" w:rsidRPr="00F869FA" w:rsidRDefault="00AD4BE9" w:rsidP="00AD4BE9">
      <w:pPr>
        <w:pStyle w:val="ListParagraph"/>
        <w:rPr>
          <w:rFonts w:ascii="Arial" w:hAnsi="Arial" w:cs="Arial"/>
          <w:b/>
          <w:sz w:val="28"/>
          <w:szCs w:val="28"/>
          <w:highlight w:val="yellow"/>
        </w:rPr>
      </w:pPr>
    </w:p>
    <w:p w14:paraId="26229135" w14:textId="77777777" w:rsidR="00B00311" w:rsidRPr="00F869FA" w:rsidRDefault="00B00311" w:rsidP="00B00311">
      <w:pPr>
        <w:rPr>
          <w:rFonts w:ascii="Arial" w:hAnsi="Arial" w:cs="Arial"/>
          <w:highlight w:val="yellow"/>
        </w:rPr>
      </w:pPr>
    </w:p>
    <w:p w14:paraId="064D67FD" w14:textId="785EE8BC" w:rsidR="00585E17" w:rsidRPr="00621B12" w:rsidRDefault="00585E17" w:rsidP="00585E17">
      <w:pPr>
        <w:rPr>
          <w:rFonts w:ascii="Arial" w:hAnsi="Arial" w:cs="Arial"/>
        </w:rPr>
      </w:pPr>
      <w:r w:rsidRPr="004B43E8">
        <w:rPr>
          <w:rFonts w:ascii="Arial" w:hAnsi="Arial" w:cs="Arial"/>
        </w:rPr>
        <w:t xml:space="preserve">The High Needs block allocation </w:t>
      </w:r>
      <w:r w:rsidR="00B00311" w:rsidRPr="004B43E8">
        <w:rPr>
          <w:rFonts w:ascii="Arial" w:hAnsi="Arial" w:cs="Arial"/>
        </w:rPr>
        <w:t xml:space="preserve">generated by National Funding Formula </w:t>
      </w:r>
      <w:r w:rsidRPr="004B43E8">
        <w:rPr>
          <w:rFonts w:ascii="Arial" w:hAnsi="Arial" w:cs="Arial"/>
        </w:rPr>
        <w:t xml:space="preserve">for </w:t>
      </w:r>
      <w:r w:rsidR="00A43941" w:rsidRPr="004B43E8">
        <w:rPr>
          <w:rFonts w:ascii="Arial" w:hAnsi="Arial" w:cs="Arial"/>
        </w:rPr>
        <w:t>2023-24</w:t>
      </w:r>
      <w:r w:rsidR="007422DF">
        <w:rPr>
          <w:rFonts w:ascii="Arial" w:hAnsi="Arial" w:cs="Arial"/>
        </w:rPr>
        <w:t>, including High Needs additional DSG funding of £5.349m,</w:t>
      </w:r>
      <w:r w:rsidRPr="004B43E8">
        <w:rPr>
          <w:rFonts w:ascii="Arial" w:hAnsi="Arial" w:cs="Arial"/>
        </w:rPr>
        <w:t xml:space="preserve"> has increased to £1</w:t>
      </w:r>
      <w:r w:rsidR="009472A3" w:rsidRPr="004B43E8">
        <w:rPr>
          <w:rFonts w:ascii="Arial" w:hAnsi="Arial" w:cs="Arial"/>
        </w:rPr>
        <w:t>35.212</w:t>
      </w:r>
      <w:r w:rsidRPr="004B43E8">
        <w:rPr>
          <w:rFonts w:ascii="Arial" w:hAnsi="Arial" w:cs="Arial"/>
        </w:rPr>
        <w:t>m from £1</w:t>
      </w:r>
      <w:r w:rsidR="004B43E8" w:rsidRPr="004B43E8">
        <w:rPr>
          <w:rFonts w:ascii="Arial" w:hAnsi="Arial" w:cs="Arial"/>
        </w:rPr>
        <w:t>20.578</w:t>
      </w:r>
      <w:r w:rsidRPr="004B43E8">
        <w:rPr>
          <w:rFonts w:ascii="Arial" w:hAnsi="Arial" w:cs="Arial"/>
        </w:rPr>
        <w:t xml:space="preserve">m in </w:t>
      </w:r>
      <w:r w:rsidR="00A4319F" w:rsidRPr="004B43E8">
        <w:rPr>
          <w:rFonts w:ascii="Arial" w:hAnsi="Arial" w:cs="Arial"/>
        </w:rPr>
        <w:t>2022-23</w:t>
      </w:r>
      <w:r w:rsidRPr="00621B12">
        <w:rPr>
          <w:rFonts w:ascii="Arial" w:hAnsi="Arial" w:cs="Arial"/>
        </w:rPr>
        <w:t xml:space="preserve">.  This is </w:t>
      </w:r>
      <w:r w:rsidRPr="00E23772">
        <w:rPr>
          <w:rFonts w:ascii="Arial" w:hAnsi="Arial" w:cs="Arial"/>
        </w:rPr>
        <w:t>an increase of £1</w:t>
      </w:r>
      <w:r w:rsidR="004B43E8" w:rsidRPr="00E23772">
        <w:rPr>
          <w:rFonts w:ascii="Arial" w:hAnsi="Arial" w:cs="Arial"/>
        </w:rPr>
        <w:t>4.634</w:t>
      </w:r>
      <w:r w:rsidRPr="00E23772">
        <w:rPr>
          <w:rFonts w:ascii="Arial" w:hAnsi="Arial" w:cs="Arial"/>
        </w:rPr>
        <w:t>m (1</w:t>
      </w:r>
      <w:r w:rsidR="00143DB4" w:rsidRPr="00E23772">
        <w:rPr>
          <w:rFonts w:ascii="Arial" w:hAnsi="Arial" w:cs="Arial"/>
        </w:rPr>
        <w:t>2.1</w:t>
      </w:r>
      <w:r w:rsidRPr="00E23772">
        <w:rPr>
          <w:rFonts w:ascii="Arial" w:hAnsi="Arial" w:cs="Arial"/>
        </w:rPr>
        <w:t xml:space="preserve">%) </w:t>
      </w:r>
      <w:r w:rsidRPr="00621B12">
        <w:rPr>
          <w:rFonts w:ascii="Arial" w:hAnsi="Arial" w:cs="Arial"/>
        </w:rPr>
        <w:t xml:space="preserve">compared to the </w:t>
      </w:r>
      <w:r w:rsidR="00A4319F">
        <w:rPr>
          <w:rFonts w:ascii="Arial" w:hAnsi="Arial" w:cs="Arial"/>
        </w:rPr>
        <w:t>2022-23</w:t>
      </w:r>
      <w:r w:rsidRPr="00621B12">
        <w:rPr>
          <w:rFonts w:ascii="Arial" w:hAnsi="Arial" w:cs="Arial"/>
        </w:rPr>
        <w:t xml:space="preserve"> High Needs Block (as at the November 202</w:t>
      </w:r>
      <w:r w:rsidR="00621B12" w:rsidRPr="00621B12">
        <w:rPr>
          <w:rFonts w:ascii="Arial" w:hAnsi="Arial" w:cs="Arial"/>
        </w:rPr>
        <w:t>2</w:t>
      </w:r>
      <w:r w:rsidRPr="00621B12">
        <w:rPr>
          <w:rFonts w:ascii="Arial" w:hAnsi="Arial" w:cs="Arial"/>
        </w:rPr>
        <w:t xml:space="preserve"> DSG update)</w:t>
      </w:r>
      <w:r w:rsidR="00DD1ECD">
        <w:rPr>
          <w:rFonts w:ascii="Arial" w:hAnsi="Arial" w:cs="Arial"/>
        </w:rPr>
        <w:t>.</w:t>
      </w:r>
    </w:p>
    <w:p w14:paraId="72A2F85B" w14:textId="77777777" w:rsidR="00585E17" w:rsidRPr="00F869FA" w:rsidRDefault="00585E17" w:rsidP="00585E17">
      <w:pPr>
        <w:rPr>
          <w:rFonts w:ascii="Arial" w:hAnsi="Arial" w:cs="Arial"/>
          <w:highlight w:val="yellow"/>
        </w:rPr>
      </w:pPr>
    </w:p>
    <w:p w14:paraId="711EADEC" w14:textId="6D046692" w:rsidR="00585E17" w:rsidRDefault="00585E17" w:rsidP="00585E17">
      <w:pPr>
        <w:rPr>
          <w:rFonts w:ascii="Arial" w:hAnsi="Arial" w:cs="Arial"/>
        </w:rPr>
      </w:pPr>
      <w:r w:rsidRPr="005D2AC3">
        <w:rPr>
          <w:rFonts w:ascii="Arial" w:hAnsi="Arial" w:cs="Arial"/>
        </w:rPr>
        <w:t>The increase of £1</w:t>
      </w:r>
      <w:r w:rsidR="00E05403" w:rsidRPr="005D2AC3">
        <w:rPr>
          <w:rFonts w:ascii="Arial" w:hAnsi="Arial" w:cs="Arial"/>
        </w:rPr>
        <w:t>4.634</w:t>
      </w:r>
      <w:r w:rsidRPr="005D2AC3">
        <w:rPr>
          <w:rFonts w:ascii="Arial" w:hAnsi="Arial" w:cs="Arial"/>
        </w:rPr>
        <w:t>m between years includes a</w:t>
      </w:r>
      <w:r w:rsidR="000249DE" w:rsidRPr="005D2AC3">
        <w:rPr>
          <w:rFonts w:ascii="Arial" w:hAnsi="Arial" w:cs="Arial"/>
        </w:rPr>
        <w:t>n increase of</w:t>
      </w:r>
      <w:r w:rsidRPr="005D2AC3">
        <w:rPr>
          <w:rFonts w:ascii="Arial" w:hAnsi="Arial" w:cs="Arial"/>
        </w:rPr>
        <w:t xml:space="preserve"> £</w:t>
      </w:r>
      <w:r w:rsidR="00E10914" w:rsidRPr="005D2AC3">
        <w:rPr>
          <w:rFonts w:ascii="Arial" w:hAnsi="Arial" w:cs="Arial"/>
        </w:rPr>
        <w:t>1.577</w:t>
      </w:r>
      <w:r w:rsidRPr="005D2AC3">
        <w:rPr>
          <w:rFonts w:ascii="Arial" w:hAnsi="Arial" w:cs="Arial"/>
        </w:rPr>
        <w:t>m based on the number of pupils in special schools</w:t>
      </w:r>
      <w:r w:rsidR="00E10914" w:rsidRPr="005D2AC3">
        <w:rPr>
          <w:rFonts w:ascii="Arial" w:hAnsi="Arial" w:cs="Arial"/>
        </w:rPr>
        <w:t xml:space="preserve"> (including independent)</w:t>
      </w:r>
      <w:r w:rsidRPr="005D2AC3">
        <w:rPr>
          <w:rFonts w:ascii="Arial" w:hAnsi="Arial" w:cs="Arial"/>
        </w:rPr>
        <w:t>,</w:t>
      </w:r>
      <w:r w:rsidR="001F73D8" w:rsidRPr="005D2AC3">
        <w:rPr>
          <w:rFonts w:ascii="Arial" w:hAnsi="Arial" w:cs="Arial"/>
        </w:rPr>
        <w:t xml:space="preserve"> </w:t>
      </w:r>
      <w:r w:rsidR="002303A3" w:rsidRPr="005D2AC3">
        <w:rPr>
          <w:rFonts w:ascii="Arial" w:hAnsi="Arial" w:cs="Arial"/>
        </w:rPr>
        <w:t xml:space="preserve">up from </w:t>
      </w:r>
      <w:r w:rsidRPr="005D2AC3">
        <w:rPr>
          <w:rFonts w:ascii="Arial" w:hAnsi="Arial" w:cs="Arial"/>
        </w:rPr>
        <w:t>2,</w:t>
      </w:r>
      <w:r w:rsidR="001F73D8" w:rsidRPr="005D2AC3">
        <w:rPr>
          <w:rFonts w:ascii="Arial" w:hAnsi="Arial" w:cs="Arial"/>
        </w:rPr>
        <w:t>299.50</w:t>
      </w:r>
      <w:r w:rsidRPr="005D2AC3">
        <w:rPr>
          <w:rFonts w:ascii="Arial" w:hAnsi="Arial" w:cs="Arial"/>
        </w:rPr>
        <w:t xml:space="preserve"> to 2,</w:t>
      </w:r>
      <w:r w:rsidR="000249DE" w:rsidRPr="005D2AC3">
        <w:rPr>
          <w:rFonts w:ascii="Arial" w:hAnsi="Arial" w:cs="Arial"/>
        </w:rPr>
        <w:t>638</w:t>
      </w:r>
      <w:r w:rsidRPr="005D2AC3">
        <w:rPr>
          <w:rFonts w:ascii="Arial" w:hAnsi="Arial" w:cs="Arial"/>
        </w:rPr>
        <w:t xml:space="preserve"> pupils</w:t>
      </w:r>
      <w:r w:rsidR="002303A3" w:rsidRPr="005D2AC3">
        <w:rPr>
          <w:rFonts w:ascii="Arial" w:hAnsi="Arial" w:cs="Arial"/>
        </w:rPr>
        <w:t xml:space="preserve">, </w:t>
      </w:r>
      <w:r w:rsidR="00E33BB9">
        <w:rPr>
          <w:rFonts w:ascii="Arial" w:hAnsi="Arial" w:cs="Arial"/>
        </w:rPr>
        <w:t xml:space="preserve">and </w:t>
      </w:r>
      <w:r w:rsidR="002303A3" w:rsidRPr="005D2AC3">
        <w:rPr>
          <w:rFonts w:ascii="Arial" w:hAnsi="Arial" w:cs="Arial"/>
        </w:rPr>
        <w:t>£5.349m of High Needs additional DSG funding allocated from the extra £400m announced for High Needs nationally</w:t>
      </w:r>
      <w:r w:rsidR="00E33BB9">
        <w:rPr>
          <w:rFonts w:ascii="Arial" w:hAnsi="Arial" w:cs="Arial"/>
        </w:rPr>
        <w:t>.  T</w:t>
      </w:r>
      <w:r w:rsidR="005D2AC3" w:rsidRPr="005D2AC3">
        <w:rPr>
          <w:rFonts w:ascii="Arial" w:hAnsi="Arial" w:cs="Arial"/>
        </w:rPr>
        <w:t>he remainder is due to previously announced</w:t>
      </w:r>
      <w:r w:rsidR="00E33BB9">
        <w:rPr>
          <w:rFonts w:ascii="Arial" w:hAnsi="Arial" w:cs="Arial"/>
        </w:rPr>
        <w:t xml:space="preserve"> </w:t>
      </w:r>
      <w:r w:rsidR="002C738E">
        <w:rPr>
          <w:rFonts w:ascii="Arial" w:hAnsi="Arial" w:cs="Arial"/>
        </w:rPr>
        <w:t xml:space="preserve">and expected </w:t>
      </w:r>
      <w:r w:rsidR="00E33BB9">
        <w:rPr>
          <w:rFonts w:ascii="Arial" w:hAnsi="Arial" w:cs="Arial"/>
        </w:rPr>
        <w:t>DSG</w:t>
      </w:r>
      <w:r w:rsidR="005D2AC3" w:rsidRPr="005D2AC3">
        <w:rPr>
          <w:rFonts w:ascii="Arial" w:hAnsi="Arial" w:cs="Arial"/>
        </w:rPr>
        <w:t xml:space="preserve"> increases with the High Needs National Funding Formula for 2023-24.</w:t>
      </w:r>
    </w:p>
    <w:p w14:paraId="59E84E0C" w14:textId="77777777" w:rsidR="00446760" w:rsidRDefault="00446760" w:rsidP="00585E17">
      <w:pPr>
        <w:rPr>
          <w:rFonts w:ascii="Arial" w:hAnsi="Arial" w:cs="Arial"/>
        </w:rPr>
      </w:pPr>
    </w:p>
    <w:p w14:paraId="4997532C" w14:textId="49C78270" w:rsidR="00AD4BE9" w:rsidRPr="00446760" w:rsidRDefault="00446760" w:rsidP="00683A6F">
      <w:pPr>
        <w:rPr>
          <w:rFonts w:ascii="Arial" w:hAnsi="Arial" w:cs="Arial"/>
          <w:color w:val="0B0C0C"/>
          <w:shd w:val="clear" w:color="auto" w:fill="FFFFFF"/>
        </w:rPr>
      </w:pPr>
      <w:r w:rsidRPr="009A6A01">
        <w:rPr>
          <w:rFonts w:ascii="Arial" w:hAnsi="Arial" w:cs="Arial"/>
          <w:color w:val="0B0C0C"/>
          <w:shd w:val="clear" w:color="auto" w:fill="FFFFFF"/>
        </w:rPr>
        <w:t>Part of th</w:t>
      </w:r>
      <w:r>
        <w:rPr>
          <w:rFonts w:ascii="Arial" w:hAnsi="Arial" w:cs="Arial"/>
          <w:color w:val="0B0C0C"/>
          <w:shd w:val="clear" w:color="auto" w:fill="FFFFFF"/>
        </w:rPr>
        <w:t>e</w:t>
      </w:r>
      <w:r w:rsidRPr="009A6A01">
        <w:rPr>
          <w:rFonts w:ascii="Arial" w:hAnsi="Arial" w:cs="Arial"/>
          <w:color w:val="0B0C0C"/>
          <w:shd w:val="clear" w:color="auto" w:fill="FFFFFF"/>
        </w:rPr>
        <w:t xml:space="preserve"> additional High Needs funding</w:t>
      </w:r>
      <w:r>
        <w:rPr>
          <w:rFonts w:ascii="Arial" w:hAnsi="Arial" w:cs="Arial"/>
          <w:color w:val="0B0C0C"/>
          <w:shd w:val="clear" w:color="auto" w:fill="FFFFFF"/>
        </w:rPr>
        <w:t xml:space="preserve"> of £5.349m included within the DSG allocation</w:t>
      </w:r>
      <w:r w:rsidRPr="009A6A01">
        <w:rPr>
          <w:rFonts w:ascii="Arial" w:hAnsi="Arial" w:cs="Arial"/>
          <w:color w:val="0B0C0C"/>
          <w:shd w:val="clear" w:color="auto" w:fill="FFFFFF"/>
        </w:rPr>
        <w:t xml:space="preserve"> must be used to </w:t>
      </w:r>
      <w:r w:rsidR="00AD5117">
        <w:rPr>
          <w:rFonts w:ascii="Arial" w:hAnsi="Arial" w:cs="Arial"/>
          <w:color w:val="0B0C0C"/>
          <w:shd w:val="clear" w:color="auto" w:fill="FFFFFF"/>
        </w:rPr>
        <w:t>give</w:t>
      </w:r>
      <w:r w:rsidRPr="009A6A01">
        <w:rPr>
          <w:rFonts w:ascii="Arial" w:hAnsi="Arial" w:cs="Arial"/>
          <w:color w:val="0B0C0C"/>
          <w:shd w:val="clear" w:color="auto" w:fill="FFFFFF"/>
        </w:rPr>
        <w:t xml:space="preserve"> an additional 3.4% to special and AP schools and academies, as per the 2023</w:t>
      </w:r>
      <w:r>
        <w:rPr>
          <w:rFonts w:ascii="Arial" w:hAnsi="Arial" w:cs="Arial"/>
          <w:color w:val="0B0C0C"/>
          <w:shd w:val="clear" w:color="auto" w:fill="FFFFFF"/>
        </w:rPr>
        <w:t>-</w:t>
      </w:r>
      <w:r w:rsidRPr="009A6A01">
        <w:rPr>
          <w:rFonts w:ascii="Arial" w:hAnsi="Arial" w:cs="Arial"/>
          <w:color w:val="0B0C0C"/>
          <w:shd w:val="clear" w:color="auto" w:fill="FFFFFF"/>
        </w:rPr>
        <w:t>24 DSG conditions of grant.</w:t>
      </w:r>
      <w:r w:rsidR="00E70B48">
        <w:rPr>
          <w:rFonts w:ascii="Arial" w:hAnsi="Arial" w:cs="Arial"/>
          <w:color w:val="0B0C0C"/>
          <w:shd w:val="clear" w:color="auto" w:fill="FFFFFF"/>
        </w:rPr>
        <w:t xml:space="preserve">  </w:t>
      </w:r>
    </w:p>
    <w:p w14:paraId="4324D0C9" w14:textId="77777777" w:rsidR="00AD4BE9" w:rsidRPr="00071F6A" w:rsidRDefault="00AD4BE9" w:rsidP="00683A6F">
      <w:pPr>
        <w:pStyle w:val="ListParagraph"/>
        <w:rPr>
          <w:rFonts w:ascii="Arial" w:hAnsi="Arial" w:cs="Arial"/>
          <w:b/>
          <w:sz w:val="28"/>
          <w:szCs w:val="28"/>
        </w:rPr>
      </w:pPr>
    </w:p>
    <w:p w14:paraId="1A4E163D" w14:textId="77777777" w:rsidR="00FE5920" w:rsidRPr="00071F6A" w:rsidRDefault="00FE5920" w:rsidP="00FE5920">
      <w:pPr>
        <w:rPr>
          <w:rFonts w:ascii="Arial" w:hAnsi="Arial" w:cs="Arial"/>
          <w:b/>
          <w:color w:val="1F4E79" w:themeColor="accent5" w:themeShade="80"/>
          <w:sz w:val="28"/>
          <w:szCs w:val="28"/>
        </w:rPr>
      </w:pPr>
    </w:p>
    <w:p w14:paraId="6E03CB96" w14:textId="77777777" w:rsidR="00FE5920" w:rsidRPr="00071F6A" w:rsidRDefault="00FE5920" w:rsidP="00FE5920">
      <w:pPr>
        <w:rPr>
          <w:rFonts w:ascii="Arial" w:hAnsi="Arial" w:cs="Arial"/>
          <w:b/>
          <w:sz w:val="28"/>
          <w:szCs w:val="28"/>
        </w:rPr>
      </w:pPr>
    </w:p>
    <w:p w14:paraId="38ADD578" w14:textId="643D3B4D" w:rsidR="0076609C" w:rsidRPr="00071F6A" w:rsidRDefault="00AD4BE9" w:rsidP="00BC6865">
      <w:pPr>
        <w:pStyle w:val="Heading2"/>
      </w:pPr>
      <w:r w:rsidRPr="00071F6A">
        <w:t>Dedicated Schools Grant Management Plan</w:t>
      </w:r>
    </w:p>
    <w:p w14:paraId="18A959CC" w14:textId="31F3F3D0" w:rsidR="00AD4BE9" w:rsidRPr="00071F6A" w:rsidRDefault="00AD4BE9">
      <w:pPr>
        <w:pStyle w:val="ListParagraph"/>
        <w:rPr>
          <w:rFonts w:ascii="Arial" w:hAnsi="Arial" w:cs="Arial"/>
          <w:b/>
          <w:sz w:val="28"/>
          <w:szCs w:val="28"/>
        </w:rPr>
      </w:pPr>
    </w:p>
    <w:p w14:paraId="147E1C4C" w14:textId="43F100C8" w:rsidR="004E4A52" w:rsidRPr="00071F6A" w:rsidRDefault="004A4DA8" w:rsidP="004E4A52">
      <w:pPr>
        <w:rPr>
          <w:rFonts w:ascii="Arial" w:hAnsi="Arial" w:cs="Arial"/>
          <w:b/>
          <w:bCs/>
        </w:rPr>
      </w:pPr>
      <w:r>
        <w:rPr>
          <w:rFonts w:ascii="Arial" w:hAnsi="Arial" w:cs="Arial"/>
          <w:b/>
        </w:rPr>
        <w:t>4</w:t>
      </w:r>
      <w:r w:rsidR="004E4A52" w:rsidRPr="00071F6A">
        <w:rPr>
          <w:rFonts w:ascii="Arial" w:hAnsi="Arial" w:cs="Arial"/>
          <w:b/>
          <w:bCs/>
        </w:rPr>
        <w:t>.1</w:t>
      </w:r>
      <w:r w:rsidR="004E4A52" w:rsidRPr="00071F6A">
        <w:rPr>
          <w:rFonts w:ascii="Arial" w:hAnsi="Arial" w:cs="Arial"/>
          <w:b/>
          <w:bCs/>
        </w:rPr>
        <w:tab/>
        <w:t xml:space="preserve">Previous DSG Deficit </w:t>
      </w:r>
      <w:r w:rsidR="008934A5" w:rsidRPr="00071F6A">
        <w:rPr>
          <w:rFonts w:ascii="Arial" w:hAnsi="Arial" w:cs="Arial"/>
          <w:b/>
          <w:bCs/>
        </w:rPr>
        <w:t xml:space="preserve">Management </w:t>
      </w:r>
      <w:r w:rsidR="004E4A52" w:rsidRPr="00071F6A">
        <w:rPr>
          <w:rFonts w:ascii="Arial" w:hAnsi="Arial" w:cs="Arial"/>
          <w:b/>
          <w:bCs/>
        </w:rPr>
        <w:t>Plan</w:t>
      </w:r>
    </w:p>
    <w:p w14:paraId="451049AE" w14:textId="77777777" w:rsidR="004E4A52" w:rsidRPr="00071F6A" w:rsidRDefault="004E4A52" w:rsidP="004E4A52">
      <w:pPr>
        <w:rPr>
          <w:rFonts w:ascii="Arial" w:hAnsi="Arial" w:cs="Arial"/>
        </w:rPr>
      </w:pPr>
    </w:p>
    <w:p w14:paraId="1E166631" w14:textId="3ECA9364" w:rsidR="00B824F8" w:rsidRDefault="004E4A52" w:rsidP="004E4A52">
      <w:pPr>
        <w:rPr>
          <w:rFonts w:ascii="Arial" w:hAnsi="Arial" w:cs="Arial"/>
        </w:rPr>
      </w:pPr>
      <w:r w:rsidRPr="00071F6A">
        <w:rPr>
          <w:rFonts w:ascii="Arial" w:hAnsi="Arial" w:cs="Arial"/>
        </w:rPr>
        <w:t xml:space="preserve">The previous DSG </w:t>
      </w:r>
      <w:r w:rsidR="008934A5" w:rsidRPr="00071F6A">
        <w:rPr>
          <w:rFonts w:ascii="Arial" w:hAnsi="Arial" w:cs="Arial"/>
        </w:rPr>
        <w:t xml:space="preserve">management plan was presented to Schools Forum </w:t>
      </w:r>
      <w:r w:rsidR="00176F21" w:rsidRPr="00071F6A">
        <w:rPr>
          <w:rFonts w:ascii="Arial" w:hAnsi="Arial" w:cs="Arial"/>
        </w:rPr>
        <w:t>in the Autumn term</w:t>
      </w:r>
      <w:r w:rsidR="005074B0" w:rsidRPr="00071F6A">
        <w:rPr>
          <w:rFonts w:ascii="Arial" w:hAnsi="Arial" w:cs="Arial"/>
        </w:rPr>
        <w:t>, l</w:t>
      </w:r>
      <w:r w:rsidRPr="00071F6A">
        <w:rPr>
          <w:rFonts w:ascii="Arial" w:hAnsi="Arial" w:cs="Arial"/>
        </w:rPr>
        <w:t xml:space="preserve">ink to Schools Forum papers on website: </w:t>
      </w:r>
      <w:hyperlink r:id="rId13" w:history="1">
        <w:r w:rsidRPr="00071F6A">
          <w:rPr>
            <w:rStyle w:val="Hyperlink"/>
            <w:rFonts w:ascii="Arial" w:hAnsi="Arial" w:cs="Arial"/>
          </w:rPr>
          <w:t>Forum agendas and papers</w:t>
        </w:r>
      </w:hyperlink>
      <w:r w:rsidR="00B67954">
        <w:rPr>
          <w:rStyle w:val="FootnoteReference"/>
          <w:rFonts w:ascii="Arial" w:hAnsi="Arial" w:cs="Arial"/>
        </w:rPr>
        <w:footnoteReference w:id="4"/>
      </w:r>
      <w:r w:rsidR="00B67954">
        <w:rPr>
          <w:rFonts w:ascii="Arial" w:hAnsi="Arial" w:cs="Arial"/>
        </w:rPr>
        <w:t>.</w:t>
      </w:r>
      <w:r w:rsidR="003402E0" w:rsidRPr="00071F6A">
        <w:rPr>
          <w:rFonts w:ascii="Arial" w:hAnsi="Arial" w:cs="Arial"/>
        </w:rPr>
        <w:t xml:space="preserve">  T</w:t>
      </w:r>
      <w:r w:rsidR="003A1F54" w:rsidRPr="00071F6A">
        <w:rPr>
          <w:rFonts w:ascii="Arial" w:hAnsi="Arial" w:cs="Arial"/>
        </w:rPr>
        <w:t>his</w:t>
      </w:r>
      <w:r w:rsidR="005D2097" w:rsidRPr="00071F6A">
        <w:rPr>
          <w:rFonts w:ascii="Arial" w:hAnsi="Arial" w:cs="Arial"/>
        </w:rPr>
        <w:t xml:space="preserve"> </w:t>
      </w:r>
      <w:r w:rsidR="00055427" w:rsidRPr="00071F6A">
        <w:rPr>
          <w:rFonts w:ascii="Arial" w:hAnsi="Arial" w:cs="Arial"/>
        </w:rPr>
        <w:t xml:space="preserve">was a multi-year plan developed </w:t>
      </w:r>
      <w:r w:rsidR="00CA5C69" w:rsidRPr="00071F6A">
        <w:rPr>
          <w:rFonts w:ascii="Arial" w:hAnsi="Arial" w:cs="Arial"/>
        </w:rPr>
        <w:t xml:space="preserve">through the Safety Valve programme </w:t>
      </w:r>
      <w:r w:rsidR="00222205" w:rsidRPr="00071F6A">
        <w:rPr>
          <w:rFonts w:ascii="Arial" w:hAnsi="Arial" w:cs="Arial"/>
        </w:rPr>
        <w:t xml:space="preserve">with support from DfE finance and SEND advisors.  </w:t>
      </w:r>
      <w:r w:rsidR="009532DB" w:rsidRPr="00071F6A">
        <w:rPr>
          <w:rFonts w:ascii="Arial" w:hAnsi="Arial" w:cs="Arial"/>
        </w:rPr>
        <w:t xml:space="preserve">The </w:t>
      </w:r>
      <w:r w:rsidR="0058505E" w:rsidRPr="00071F6A">
        <w:rPr>
          <w:rFonts w:ascii="Arial" w:hAnsi="Arial" w:cs="Arial"/>
        </w:rPr>
        <w:t xml:space="preserve">plan is </w:t>
      </w:r>
      <w:r w:rsidR="004F48A7" w:rsidRPr="00071F6A">
        <w:rPr>
          <w:rFonts w:ascii="Arial" w:hAnsi="Arial" w:cs="Arial"/>
        </w:rPr>
        <w:t xml:space="preserve">designed </w:t>
      </w:r>
      <w:r w:rsidR="0058505E" w:rsidRPr="00071F6A">
        <w:rPr>
          <w:rFonts w:ascii="Arial" w:hAnsi="Arial" w:cs="Arial"/>
        </w:rPr>
        <w:t>to provide both DfE and NCC</w:t>
      </w:r>
      <w:r w:rsidR="0058505E" w:rsidRPr="0058505E">
        <w:rPr>
          <w:rFonts w:ascii="Arial" w:hAnsi="Arial" w:cs="Arial"/>
        </w:rPr>
        <w:t xml:space="preserve"> investment to return the High Needs Block to in-year balanced </w:t>
      </w:r>
      <w:r w:rsidR="00551482">
        <w:rPr>
          <w:rFonts w:ascii="Arial" w:hAnsi="Arial" w:cs="Arial"/>
        </w:rPr>
        <w:t>position through our Local 1</w:t>
      </w:r>
      <w:r w:rsidR="00551482" w:rsidRPr="00551482">
        <w:rPr>
          <w:rFonts w:ascii="Arial" w:hAnsi="Arial" w:cs="Arial"/>
          <w:vertAlign w:val="superscript"/>
        </w:rPr>
        <w:t>st</w:t>
      </w:r>
      <w:r w:rsidR="00551482">
        <w:rPr>
          <w:rFonts w:ascii="Arial" w:hAnsi="Arial" w:cs="Arial"/>
        </w:rPr>
        <w:t xml:space="preserve"> Inclusion pr</w:t>
      </w:r>
      <w:r w:rsidR="00C022D9">
        <w:rPr>
          <w:rFonts w:ascii="Arial" w:hAnsi="Arial" w:cs="Arial"/>
        </w:rPr>
        <w:t>o</w:t>
      </w:r>
      <w:r w:rsidR="00551482">
        <w:rPr>
          <w:rFonts w:ascii="Arial" w:hAnsi="Arial" w:cs="Arial"/>
        </w:rPr>
        <w:t>gramme</w:t>
      </w:r>
      <w:r w:rsidR="005E2401">
        <w:rPr>
          <w:rFonts w:ascii="Arial" w:hAnsi="Arial" w:cs="Arial"/>
        </w:rPr>
        <w:t xml:space="preserve"> and </w:t>
      </w:r>
      <w:r w:rsidR="004D0891" w:rsidRPr="00A131AD">
        <w:rPr>
          <w:rFonts w:ascii="Arial" w:hAnsi="Arial" w:cs="Arial"/>
        </w:rPr>
        <w:t xml:space="preserve">will subsequently result in the cumulative deficit being repaid.  </w:t>
      </w:r>
    </w:p>
    <w:p w14:paraId="2DFC896E" w14:textId="77777777" w:rsidR="00B824F8" w:rsidRDefault="00B824F8" w:rsidP="004E4A52">
      <w:pPr>
        <w:rPr>
          <w:rFonts w:ascii="Arial" w:hAnsi="Arial" w:cs="Arial"/>
        </w:rPr>
      </w:pPr>
    </w:p>
    <w:p w14:paraId="52A2F621" w14:textId="2E9324A6" w:rsidR="004E4A52" w:rsidRDefault="0058505E" w:rsidP="004E4A52">
      <w:pPr>
        <w:rPr>
          <w:rFonts w:ascii="Arial" w:hAnsi="Arial" w:cs="Arial"/>
        </w:rPr>
      </w:pPr>
      <w:r w:rsidRPr="0058505E">
        <w:rPr>
          <w:rFonts w:ascii="Arial" w:hAnsi="Arial" w:cs="Arial"/>
        </w:rPr>
        <w:t xml:space="preserve">In addition to revenue </w:t>
      </w:r>
      <w:r w:rsidR="0055401E">
        <w:rPr>
          <w:rFonts w:ascii="Arial" w:hAnsi="Arial" w:cs="Arial"/>
        </w:rPr>
        <w:t xml:space="preserve">investment, </w:t>
      </w:r>
      <w:r w:rsidRPr="0058505E">
        <w:rPr>
          <w:rFonts w:ascii="Arial" w:hAnsi="Arial" w:cs="Arial"/>
        </w:rPr>
        <w:t>elements the DfE are also considering capital bids from NCC for two more special schools alongside the council’s ongoing £120</w:t>
      </w:r>
      <w:r w:rsidR="005449C5">
        <w:rPr>
          <w:rFonts w:ascii="Arial" w:hAnsi="Arial" w:cs="Arial"/>
        </w:rPr>
        <w:t>m</w:t>
      </w:r>
      <w:r w:rsidRPr="0058505E">
        <w:rPr>
          <w:rFonts w:ascii="Arial" w:hAnsi="Arial" w:cs="Arial"/>
        </w:rPr>
        <w:t xml:space="preserve"> SEND capital investment</w:t>
      </w:r>
      <w:r w:rsidR="005449C5">
        <w:rPr>
          <w:rFonts w:ascii="Arial" w:hAnsi="Arial" w:cs="Arial"/>
        </w:rPr>
        <w:t xml:space="preserve">, which </w:t>
      </w:r>
      <w:r w:rsidRPr="0058505E">
        <w:rPr>
          <w:rFonts w:ascii="Arial" w:hAnsi="Arial" w:cs="Arial"/>
        </w:rPr>
        <w:t xml:space="preserve">DfE Advisors have informed us that the scale of the capital investment that the Council has committed to exceeds any they have seen elsewhere.   </w:t>
      </w:r>
    </w:p>
    <w:p w14:paraId="69C771DA" w14:textId="77777777" w:rsidR="004B3E31" w:rsidRDefault="004B3E31" w:rsidP="004E4A52">
      <w:pPr>
        <w:rPr>
          <w:rFonts w:ascii="Arial" w:hAnsi="Arial" w:cs="Arial"/>
        </w:rPr>
      </w:pPr>
    </w:p>
    <w:p w14:paraId="6A8D4F25" w14:textId="1D793EB1" w:rsidR="004B3E31" w:rsidRDefault="00192DA8" w:rsidP="004E4A52">
      <w:pPr>
        <w:rPr>
          <w:rFonts w:ascii="Arial" w:hAnsi="Arial" w:cs="Arial"/>
        </w:rPr>
      </w:pPr>
      <w:r>
        <w:rPr>
          <w:rFonts w:ascii="Arial" w:hAnsi="Arial" w:cs="Arial"/>
        </w:rPr>
        <w:t xml:space="preserve">The plan previously presented </w:t>
      </w:r>
      <w:r w:rsidR="00EE6C44">
        <w:rPr>
          <w:rFonts w:ascii="Arial" w:hAnsi="Arial" w:cs="Arial"/>
        </w:rPr>
        <w:t>forecast a £25.153m deficit for 2023/24</w:t>
      </w:r>
      <w:r w:rsidR="005500C2">
        <w:rPr>
          <w:rFonts w:ascii="Arial" w:hAnsi="Arial" w:cs="Arial"/>
        </w:rPr>
        <w:t>, returning to a balanced in-year position</w:t>
      </w:r>
      <w:r w:rsidR="00F14491">
        <w:rPr>
          <w:rFonts w:ascii="Arial" w:hAnsi="Arial" w:cs="Arial"/>
        </w:rPr>
        <w:t xml:space="preserve"> during 2027/28</w:t>
      </w:r>
      <w:r w:rsidR="00E652DD">
        <w:rPr>
          <w:rFonts w:ascii="Arial" w:hAnsi="Arial" w:cs="Arial"/>
        </w:rPr>
        <w:t xml:space="preserve"> and with a cumulative deficit of £103.766m by the end of 2028/29</w:t>
      </w:r>
      <w:r w:rsidR="00AE7783">
        <w:rPr>
          <w:rFonts w:ascii="Arial" w:hAnsi="Arial" w:cs="Arial"/>
        </w:rPr>
        <w:t xml:space="preserve">.  </w:t>
      </w:r>
    </w:p>
    <w:p w14:paraId="33FF0697" w14:textId="77777777" w:rsidR="00B824F8" w:rsidRDefault="00B824F8" w:rsidP="004E4A52">
      <w:pPr>
        <w:rPr>
          <w:rFonts w:ascii="Arial" w:hAnsi="Arial" w:cs="Arial"/>
        </w:rPr>
      </w:pPr>
    </w:p>
    <w:p w14:paraId="2B3EB072" w14:textId="51BD721A" w:rsidR="00B824F8" w:rsidRPr="00EB2E9A" w:rsidRDefault="00B824F8" w:rsidP="00B824F8">
      <w:pPr>
        <w:rPr>
          <w:rFonts w:ascii="Arial" w:hAnsi="Arial" w:cs="Arial"/>
        </w:rPr>
      </w:pPr>
      <w:r>
        <w:rPr>
          <w:rFonts w:ascii="Arial" w:hAnsi="Arial" w:cs="Arial"/>
        </w:rPr>
        <w:t>Following Forum’s November 2022 meeting, t</w:t>
      </w:r>
      <w:r w:rsidRPr="00EB2E9A">
        <w:rPr>
          <w:rFonts w:ascii="Arial" w:hAnsi="Arial" w:cs="Arial"/>
        </w:rPr>
        <w:t xml:space="preserve">he Local Authority submitted a disapplication of regulations request to the Secretary of State in November 2022 requesting a further 1% transfer from the Schools Block to the High Needs Block in </w:t>
      </w:r>
      <w:r>
        <w:rPr>
          <w:rFonts w:ascii="Arial" w:hAnsi="Arial" w:cs="Arial"/>
        </w:rPr>
        <w:t>2023-24</w:t>
      </w:r>
      <w:r w:rsidRPr="00EB2E9A">
        <w:rPr>
          <w:rFonts w:ascii="Arial" w:hAnsi="Arial" w:cs="Arial"/>
        </w:rPr>
        <w:t xml:space="preserve">, equivalent to </w:t>
      </w:r>
      <w:r w:rsidRPr="00FD05C8">
        <w:rPr>
          <w:rFonts w:ascii="Arial" w:hAnsi="Arial" w:cs="Arial"/>
        </w:rPr>
        <w:t xml:space="preserve">approximately £6.010m.  </w:t>
      </w:r>
      <w:r w:rsidRPr="00EB2E9A">
        <w:rPr>
          <w:rFonts w:ascii="Arial" w:hAnsi="Arial" w:cs="Arial"/>
        </w:rPr>
        <w:t xml:space="preserve">The Local Authority has not yet received a response from the Secretary of State but, for now, </w:t>
      </w:r>
      <w:r w:rsidRPr="00304E37">
        <w:rPr>
          <w:rFonts w:ascii="Arial" w:hAnsi="Arial" w:cs="Arial"/>
        </w:rPr>
        <w:t xml:space="preserve">the </w:t>
      </w:r>
      <w:r>
        <w:rPr>
          <w:rFonts w:ascii="Arial" w:hAnsi="Arial" w:cs="Arial"/>
        </w:rPr>
        <w:t xml:space="preserve">proposed 2023-24 budget and the medium term </w:t>
      </w:r>
      <w:r w:rsidRPr="00304E37">
        <w:rPr>
          <w:rFonts w:ascii="Arial" w:hAnsi="Arial" w:cs="Arial"/>
        </w:rPr>
        <w:t>DSG Management Plan includes the requested transfer</w:t>
      </w:r>
      <w:r w:rsidRPr="00EB2E9A">
        <w:rPr>
          <w:rFonts w:ascii="Arial" w:hAnsi="Arial" w:cs="Arial"/>
        </w:rPr>
        <w:t>.  If the disapplication request is subsequently refused, or only partially agreed, the forecast DSG deficit will increase accordingly.</w:t>
      </w:r>
    </w:p>
    <w:p w14:paraId="1F03DB22" w14:textId="77777777" w:rsidR="00B824F8" w:rsidRPr="006E554A" w:rsidRDefault="00B824F8" w:rsidP="00B824F8">
      <w:pPr>
        <w:rPr>
          <w:rFonts w:ascii="Arial" w:hAnsi="Arial" w:cs="Arial"/>
        </w:rPr>
      </w:pPr>
    </w:p>
    <w:p w14:paraId="500A03C0" w14:textId="77777777" w:rsidR="00B824F8" w:rsidRPr="006E554A" w:rsidRDefault="00B824F8" w:rsidP="004E4A52">
      <w:pPr>
        <w:rPr>
          <w:rFonts w:ascii="Arial" w:hAnsi="Arial" w:cs="Arial"/>
        </w:rPr>
      </w:pPr>
    </w:p>
    <w:p w14:paraId="50C93823" w14:textId="77777777" w:rsidR="004E4A52" w:rsidRPr="006E554A" w:rsidRDefault="004E4A52" w:rsidP="004E4A52">
      <w:pPr>
        <w:rPr>
          <w:rFonts w:ascii="Arial" w:hAnsi="Arial" w:cs="Arial"/>
        </w:rPr>
      </w:pPr>
    </w:p>
    <w:p w14:paraId="527B82FC" w14:textId="19836A47" w:rsidR="004E4A52" w:rsidRPr="006E554A" w:rsidRDefault="004A4DA8" w:rsidP="004E4A52">
      <w:pPr>
        <w:rPr>
          <w:rFonts w:ascii="Arial" w:hAnsi="Arial" w:cs="Arial"/>
          <w:b/>
          <w:bCs/>
        </w:rPr>
      </w:pPr>
      <w:r w:rsidRPr="006E554A">
        <w:rPr>
          <w:rFonts w:ascii="Arial" w:hAnsi="Arial" w:cs="Arial"/>
          <w:b/>
          <w:bCs/>
        </w:rPr>
        <w:t>4</w:t>
      </w:r>
      <w:r w:rsidR="004E4A52" w:rsidRPr="006E554A">
        <w:rPr>
          <w:rFonts w:ascii="Arial" w:hAnsi="Arial" w:cs="Arial"/>
          <w:b/>
          <w:bCs/>
        </w:rPr>
        <w:t>.2</w:t>
      </w:r>
      <w:r w:rsidR="004E4A52" w:rsidRPr="006E554A">
        <w:rPr>
          <w:rFonts w:ascii="Arial" w:hAnsi="Arial" w:cs="Arial"/>
          <w:b/>
          <w:bCs/>
        </w:rPr>
        <w:tab/>
        <w:t xml:space="preserve">Latest DSG </w:t>
      </w:r>
      <w:r w:rsidR="008759B1" w:rsidRPr="006E554A">
        <w:rPr>
          <w:rFonts w:ascii="Arial" w:hAnsi="Arial" w:cs="Arial"/>
          <w:b/>
          <w:bCs/>
        </w:rPr>
        <w:t>Management Plan</w:t>
      </w:r>
      <w:r w:rsidR="004E4A52" w:rsidRPr="006E554A">
        <w:rPr>
          <w:rFonts w:ascii="Arial" w:hAnsi="Arial" w:cs="Arial"/>
          <w:b/>
          <w:bCs/>
        </w:rPr>
        <w:t xml:space="preserve"> Forecast</w:t>
      </w:r>
    </w:p>
    <w:p w14:paraId="675CE971" w14:textId="77777777" w:rsidR="004E4A52" w:rsidRPr="006E554A" w:rsidRDefault="004E4A52" w:rsidP="004E4A52">
      <w:pPr>
        <w:rPr>
          <w:rFonts w:ascii="Arial" w:hAnsi="Arial" w:cs="Arial"/>
          <w:b/>
          <w:bCs/>
        </w:rPr>
      </w:pPr>
    </w:p>
    <w:p w14:paraId="46965830" w14:textId="77777777" w:rsidR="004E4A52" w:rsidRPr="006E554A" w:rsidRDefault="004E4A52" w:rsidP="004E4A52">
      <w:pPr>
        <w:rPr>
          <w:rFonts w:ascii="Arial" w:hAnsi="Arial" w:cs="Arial"/>
        </w:rPr>
      </w:pPr>
    </w:p>
    <w:p w14:paraId="28BC9692" w14:textId="783A766C" w:rsidR="00BD20B9" w:rsidRDefault="00C61F4D" w:rsidP="00B824F8">
      <w:pPr>
        <w:rPr>
          <w:rFonts w:ascii="Arial" w:hAnsi="Arial" w:cs="Arial"/>
        </w:rPr>
      </w:pPr>
      <w:r w:rsidRPr="006E554A">
        <w:rPr>
          <w:rFonts w:ascii="Arial" w:hAnsi="Arial" w:cs="Arial"/>
        </w:rPr>
        <w:t xml:space="preserve">After the initial plan was submitted to the DfE and shared with Schools Forum, </w:t>
      </w:r>
      <w:r w:rsidR="00D21A04" w:rsidRPr="006E554A">
        <w:rPr>
          <w:rFonts w:ascii="Arial" w:hAnsi="Arial" w:cs="Arial"/>
        </w:rPr>
        <w:t xml:space="preserve">the Government made a </w:t>
      </w:r>
      <w:r w:rsidR="00FA1536" w:rsidRPr="006E554A">
        <w:rPr>
          <w:rFonts w:ascii="Arial" w:hAnsi="Arial" w:cs="Arial"/>
        </w:rPr>
        <w:t>DSG funding announcement in December 2022</w:t>
      </w:r>
      <w:r w:rsidR="00E93BD1" w:rsidRPr="006E554A">
        <w:rPr>
          <w:rFonts w:ascii="Arial" w:hAnsi="Arial" w:cs="Arial"/>
        </w:rPr>
        <w:t xml:space="preserve"> confirming both additional Schools Block and High Needs Block funding</w:t>
      </w:r>
      <w:r w:rsidR="00D21A04" w:rsidRPr="006E554A">
        <w:rPr>
          <w:rFonts w:ascii="Arial" w:hAnsi="Arial" w:cs="Arial"/>
        </w:rPr>
        <w:t xml:space="preserve">.  Additionally, significant levels of inflation </w:t>
      </w:r>
      <w:r w:rsidR="00102E3C" w:rsidRPr="006E554A">
        <w:rPr>
          <w:rFonts w:ascii="Arial" w:hAnsi="Arial" w:cs="Arial"/>
        </w:rPr>
        <w:t>were seen in the</w:t>
      </w:r>
      <w:r w:rsidR="00102E3C">
        <w:rPr>
          <w:rFonts w:ascii="Arial" w:hAnsi="Arial" w:cs="Arial"/>
        </w:rPr>
        <w:t xml:space="preserve"> latter part of the year</w:t>
      </w:r>
      <w:r w:rsidR="00851945">
        <w:rPr>
          <w:rFonts w:ascii="Arial" w:hAnsi="Arial" w:cs="Arial"/>
        </w:rPr>
        <w:t xml:space="preserve"> that would place pressure on the assumptions in the submitted plan</w:t>
      </w:r>
      <w:r w:rsidR="00465608">
        <w:rPr>
          <w:rFonts w:ascii="Arial" w:hAnsi="Arial" w:cs="Arial"/>
        </w:rPr>
        <w:t xml:space="preserve"> and the levels of inflation seen during the latter part of 2022</w:t>
      </w:r>
      <w:r w:rsidR="00D35C05">
        <w:rPr>
          <w:rFonts w:ascii="Arial" w:hAnsi="Arial" w:cs="Arial"/>
        </w:rPr>
        <w:t>.</w:t>
      </w:r>
    </w:p>
    <w:p w14:paraId="6D7AFCCD" w14:textId="77777777" w:rsidR="00D35C05" w:rsidRDefault="00D35C05" w:rsidP="00B824F8">
      <w:pPr>
        <w:rPr>
          <w:rFonts w:ascii="Arial" w:hAnsi="Arial" w:cs="Arial"/>
        </w:rPr>
      </w:pPr>
    </w:p>
    <w:p w14:paraId="74C8CEEB" w14:textId="67752580" w:rsidR="00A95F4C" w:rsidRDefault="001E1908" w:rsidP="00B824F8">
      <w:pPr>
        <w:rPr>
          <w:rFonts w:ascii="Arial" w:hAnsi="Arial" w:cs="Arial"/>
        </w:rPr>
      </w:pPr>
      <w:r>
        <w:rPr>
          <w:rFonts w:ascii="Arial" w:hAnsi="Arial" w:cs="Arial"/>
        </w:rPr>
        <w:t xml:space="preserve">The Local Authority has </w:t>
      </w:r>
      <w:r w:rsidR="00980F5D">
        <w:rPr>
          <w:rFonts w:ascii="Arial" w:hAnsi="Arial" w:cs="Arial"/>
        </w:rPr>
        <w:t xml:space="preserve">undertaken a </w:t>
      </w:r>
      <w:r w:rsidR="0037264D">
        <w:rPr>
          <w:rFonts w:ascii="Arial" w:hAnsi="Arial" w:cs="Arial"/>
        </w:rPr>
        <w:t>high-level</w:t>
      </w:r>
      <w:r w:rsidR="00980F5D">
        <w:rPr>
          <w:rFonts w:ascii="Arial" w:hAnsi="Arial" w:cs="Arial"/>
        </w:rPr>
        <w:t xml:space="preserve"> revision of </w:t>
      </w:r>
      <w:r>
        <w:rPr>
          <w:rFonts w:ascii="Arial" w:hAnsi="Arial" w:cs="Arial"/>
        </w:rPr>
        <w:t xml:space="preserve">the </w:t>
      </w:r>
      <w:r w:rsidR="00980F5D">
        <w:rPr>
          <w:rFonts w:ascii="Arial" w:hAnsi="Arial" w:cs="Arial"/>
        </w:rPr>
        <w:t>DSG management plan previously shared with Forum and submitted to the DfE</w:t>
      </w:r>
      <w:r w:rsidR="00A95F4C">
        <w:rPr>
          <w:rFonts w:ascii="Arial" w:hAnsi="Arial" w:cs="Arial"/>
        </w:rPr>
        <w:t xml:space="preserve"> to </w:t>
      </w:r>
      <w:r w:rsidR="0037264D">
        <w:rPr>
          <w:rFonts w:ascii="Arial" w:hAnsi="Arial" w:cs="Arial"/>
        </w:rPr>
        <w:t>consider</w:t>
      </w:r>
      <w:r w:rsidR="00A95F4C">
        <w:rPr>
          <w:rFonts w:ascii="Arial" w:hAnsi="Arial" w:cs="Arial"/>
        </w:rPr>
        <w:t xml:space="preserve"> these two key factors.  The amendments include revision to the inflation rate for externally purchased placements and support</w:t>
      </w:r>
      <w:r w:rsidR="00722D02">
        <w:rPr>
          <w:rFonts w:ascii="Arial" w:hAnsi="Arial" w:cs="Arial"/>
        </w:rPr>
        <w:t xml:space="preserve"> and</w:t>
      </w:r>
      <w:r w:rsidR="00A95F4C">
        <w:rPr>
          <w:rFonts w:ascii="Arial" w:hAnsi="Arial" w:cs="Arial"/>
        </w:rPr>
        <w:t xml:space="preserve"> revision to pay </w:t>
      </w:r>
      <w:r w:rsidR="00670E04">
        <w:rPr>
          <w:rFonts w:ascii="Arial" w:hAnsi="Arial" w:cs="Arial"/>
        </w:rPr>
        <w:t xml:space="preserve">inflation rates </w:t>
      </w:r>
      <w:r w:rsidR="0037264D">
        <w:rPr>
          <w:rFonts w:ascii="Arial" w:hAnsi="Arial" w:cs="Arial"/>
        </w:rPr>
        <w:t>considering</w:t>
      </w:r>
      <w:r w:rsidR="00670E04">
        <w:rPr>
          <w:rFonts w:ascii="Arial" w:hAnsi="Arial" w:cs="Arial"/>
        </w:rPr>
        <w:t xml:space="preserve"> recent pay awards</w:t>
      </w:r>
      <w:r w:rsidR="00722D02">
        <w:rPr>
          <w:rFonts w:ascii="Arial" w:hAnsi="Arial" w:cs="Arial"/>
        </w:rPr>
        <w:t>.</w:t>
      </w:r>
    </w:p>
    <w:p w14:paraId="42A984F3" w14:textId="77777777" w:rsidR="00C97DFB" w:rsidRDefault="00C97DFB" w:rsidP="00B824F8">
      <w:pPr>
        <w:rPr>
          <w:rFonts w:ascii="Arial" w:hAnsi="Arial" w:cs="Arial"/>
        </w:rPr>
      </w:pPr>
    </w:p>
    <w:p w14:paraId="5A5A44E1" w14:textId="77777777" w:rsidR="000D22F1" w:rsidRPr="00EB2E9A" w:rsidRDefault="000D22F1" w:rsidP="000D22F1">
      <w:pPr>
        <w:rPr>
          <w:rFonts w:ascii="Arial" w:hAnsi="Arial" w:cs="Arial"/>
        </w:rPr>
      </w:pPr>
      <w:r w:rsidRPr="00EB2E9A">
        <w:rPr>
          <w:rFonts w:ascii="Arial" w:hAnsi="Arial" w:cs="Arial"/>
        </w:rPr>
        <w:t xml:space="preserve">The Local Authority has not yet received a response from the Secretary of State but, for now, </w:t>
      </w:r>
      <w:r w:rsidRPr="00304E37">
        <w:rPr>
          <w:rFonts w:ascii="Arial" w:hAnsi="Arial" w:cs="Arial"/>
        </w:rPr>
        <w:t xml:space="preserve">the </w:t>
      </w:r>
      <w:r>
        <w:rPr>
          <w:rFonts w:ascii="Arial" w:hAnsi="Arial" w:cs="Arial"/>
        </w:rPr>
        <w:t xml:space="preserve">proposed 2023-24 budget and the medium term </w:t>
      </w:r>
      <w:r w:rsidRPr="00304E37">
        <w:rPr>
          <w:rFonts w:ascii="Arial" w:hAnsi="Arial" w:cs="Arial"/>
        </w:rPr>
        <w:t>DSG Management Plan includes the requested transfer</w:t>
      </w:r>
      <w:r w:rsidRPr="00EB2E9A">
        <w:rPr>
          <w:rFonts w:ascii="Arial" w:hAnsi="Arial" w:cs="Arial"/>
        </w:rPr>
        <w:t>.  If the disapplication request is subsequently refused, or only partially agreed, the forecast DSG deficit will increase accordingly.</w:t>
      </w:r>
    </w:p>
    <w:p w14:paraId="0E56A411" w14:textId="77777777" w:rsidR="000D22F1" w:rsidRDefault="000D22F1" w:rsidP="00B824F8">
      <w:pPr>
        <w:rPr>
          <w:rFonts w:ascii="Arial" w:hAnsi="Arial" w:cs="Arial"/>
        </w:rPr>
      </w:pPr>
    </w:p>
    <w:p w14:paraId="52C431B5" w14:textId="77777777" w:rsidR="00907C14" w:rsidRDefault="00623591" w:rsidP="00907C14">
      <w:pPr>
        <w:rPr>
          <w:rFonts w:ascii="Arial" w:hAnsi="Arial" w:cs="Arial"/>
        </w:rPr>
      </w:pPr>
      <w:r>
        <w:rPr>
          <w:rFonts w:ascii="Arial" w:hAnsi="Arial" w:cs="Arial"/>
        </w:rPr>
        <w:t>HNB income</w:t>
      </w:r>
      <w:r w:rsidR="000D22F1">
        <w:rPr>
          <w:rFonts w:ascii="Arial" w:hAnsi="Arial" w:cs="Arial"/>
        </w:rPr>
        <w:t xml:space="preserve"> and transfers from the SB</w:t>
      </w:r>
      <w:r>
        <w:rPr>
          <w:rFonts w:ascii="Arial" w:hAnsi="Arial" w:cs="Arial"/>
        </w:rPr>
        <w:t xml:space="preserve"> for 2023-24 </w:t>
      </w:r>
      <w:r w:rsidR="000D22F1">
        <w:rPr>
          <w:rFonts w:ascii="Arial" w:hAnsi="Arial" w:cs="Arial"/>
        </w:rPr>
        <w:t xml:space="preserve">is now expected to total </w:t>
      </w:r>
      <w:r w:rsidR="00B576C6">
        <w:rPr>
          <w:rFonts w:ascii="Arial" w:hAnsi="Arial" w:cs="Arial"/>
        </w:rPr>
        <w:t>£144.228m (an increase of £7.104m since the previously published plan)</w:t>
      </w:r>
      <w:r w:rsidR="003C7549">
        <w:rPr>
          <w:rFonts w:ascii="Arial" w:hAnsi="Arial" w:cs="Arial"/>
        </w:rPr>
        <w:t xml:space="preserve"> with expenditure expected to total </w:t>
      </w:r>
      <w:r w:rsidR="007F05B0">
        <w:rPr>
          <w:rFonts w:ascii="Arial" w:hAnsi="Arial" w:cs="Arial"/>
        </w:rPr>
        <w:t xml:space="preserve">£169.376m (an increase of </w:t>
      </w:r>
      <w:r w:rsidR="008E11AC">
        <w:rPr>
          <w:rFonts w:ascii="Arial" w:hAnsi="Arial" w:cs="Arial"/>
        </w:rPr>
        <w:t>£7.100m)</w:t>
      </w:r>
      <w:r w:rsidR="00032FA6">
        <w:rPr>
          <w:rFonts w:ascii="Arial" w:hAnsi="Arial" w:cs="Arial"/>
        </w:rPr>
        <w:t xml:space="preserve"> that takes into account the </w:t>
      </w:r>
      <w:r w:rsidR="00535155">
        <w:rPr>
          <w:rFonts w:ascii="Arial" w:hAnsi="Arial" w:cs="Arial"/>
        </w:rPr>
        <w:t xml:space="preserve">most recent impact of inflation and pay awards that were not known at the time of preparing the </w:t>
      </w:r>
      <w:r w:rsidR="00BF79CE">
        <w:rPr>
          <w:rFonts w:ascii="Arial" w:hAnsi="Arial" w:cs="Arial"/>
        </w:rPr>
        <w:t>initial Safety Valve submission</w:t>
      </w:r>
      <w:r w:rsidR="008E11AC">
        <w:rPr>
          <w:rFonts w:ascii="Arial" w:hAnsi="Arial" w:cs="Arial"/>
        </w:rPr>
        <w:t xml:space="preserve">.  </w:t>
      </w:r>
    </w:p>
    <w:p w14:paraId="4BB99CAC" w14:textId="77777777" w:rsidR="00907C14" w:rsidRDefault="00907C14" w:rsidP="00907C14">
      <w:pPr>
        <w:rPr>
          <w:rFonts w:ascii="Arial" w:hAnsi="Arial" w:cs="Arial"/>
        </w:rPr>
      </w:pPr>
    </w:p>
    <w:p w14:paraId="297CEC4D" w14:textId="77777777" w:rsidR="009E0798" w:rsidRDefault="009E0798" w:rsidP="009E0798">
      <w:pPr>
        <w:rPr>
          <w:rFonts w:ascii="Arial" w:hAnsi="Arial" w:cs="Arial"/>
        </w:rPr>
      </w:pPr>
      <w:r>
        <w:rPr>
          <w:rFonts w:ascii="Arial" w:hAnsi="Arial" w:cs="Arial"/>
        </w:rPr>
        <w:t xml:space="preserve">The revised plan forecasts an in-year deficit for 2023-24 of £25.149m (a reduction of £0.004m compared to the previously provided plan) and a cumulative deficit of £102.423m by the end of 2028/29 (a reduction £1.343m).  </w:t>
      </w:r>
    </w:p>
    <w:p w14:paraId="4D866E90" w14:textId="77777777" w:rsidR="009E0798" w:rsidRDefault="009E0798" w:rsidP="00907C14">
      <w:pPr>
        <w:rPr>
          <w:rFonts w:ascii="Arial" w:hAnsi="Arial" w:cs="Arial"/>
        </w:rPr>
      </w:pPr>
    </w:p>
    <w:p w14:paraId="3D6ABA8B" w14:textId="6E6255E7" w:rsidR="002B534B" w:rsidRPr="00394067" w:rsidRDefault="002B534B" w:rsidP="00907C14">
      <w:pPr>
        <w:rPr>
          <w:rFonts w:ascii="Arial" w:hAnsi="Arial" w:cs="Arial"/>
        </w:rPr>
      </w:pPr>
      <w:r w:rsidRPr="00394067">
        <w:rPr>
          <w:rFonts w:ascii="Arial" w:hAnsi="Arial" w:cs="Arial"/>
        </w:rPr>
        <w:t xml:space="preserve">The deficit budget for 2023-24 comprises of a combination of demand for high needs, specialist education placements and provision, particularly independent provision, exceeding the funds available combined with revenue invest-to-save approaches as part of the multi-year medium term plan to return to a balanced in year position in future.  The budgeted deficit </w:t>
      </w:r>
      <w:r>
        <w:rPr>
          <w:rFonts w:ascii="Arial" w:hAnsi="Arial" w:cs="Arial"/>
        </w:rPr>
        <w:t>will</w:t>
      </w:r>
      <w:r w:rsidRPr="00394067">
        <w:rPr>
          <w:rFonts w:ascii="Arial" w:hAnsi="Arial" w:cs="Arial"/>
        </w:rPr>
        <w:t xml:space="preserve"> be added to the cumulative DSG deficit forecast as at end of March 2023</w:t>
      </w:r>
      <w:r w:rsidR="00493611">
        <w:rPr>
          <w:rFonts w:ascii="Arial" w:hAnsi="Arial" w:cs="Arial"/>
        </w:rPr>
        <w:t>, now forecast to be £98.762m</w:t>
      </w:r>
      <w:r w:rsidRPr="00394067">
        <w:rPr>
          <w:rFonts w:ascii="Arial" w:hAnsi="Arial" w:cs="Arial"/>
        </w:rPr>
        <w:t>.</w:t>
      </w:r>
    </w:p>
    <w:p w14:paraId="17AB9C97" w14:textId="77777777" w:rsidR="00907C14" w:rsidRDefault="00907C14" w:rsidP="00B824F8">
      <w:pPr>
        <w:rPr>
          <w:rFonts w:ascii="Arial" w:hAnsi="Arial" w:cs="Arial"/>
        </w:rPr>
      </w:pPr>
    </w:p>
    <w:p w14:paraId="43CB316A" w14:textId="2ABC5F95" w:rsidR="00B824F8" w:rsidRDefault="00B824F8" w:rsidP="00B824F8">
      <w:pPr>
        <w:rPr>
          <w:rFonts w:ascii="Arial" w:hAnsi="Arial" w:cs="Arial"/>
        </w:rPr>
      </w:pPr>
      <w:r w:rsidRPr="00A131AD">
        <w:rPr>
          <w:rFonts w:ascii="Arial" w:hAnsi="Arial" w:cs="Arial"/>
        </w:rPr>
        <w:t>This plan is aligned with the latest monitoring at the time of writing (period 8, end of November 2022).</w:t>
      </w:r>
      <w:r>
        <w:rPr>
          <w:rFonts w:ascii="Arial" w:hAnsi="Arial" w:cs="Arial"/>
        </w:rPr>
        <w:t xml:space="preserve">  </w:t>
      </w:r>
      <w:r w:rsidRPr="00EB2E9A">
        <w:rPr>
          <w:rFonts w:ascii="Arial" w:hAnsi="Arial" w:cs="Arial"/>
        </w:rPr>
        <w:t xml:space="preserve">The modelling </w:t>
      </w:r>
      <w:r>
        <w:rPr>
          <w:rFonts w:ascii="Arial" w:hAnsi="Arial" w:cs="Arial"/>
        </w:rPr>
        <w:t xml:space="preserve">will </w:t>
      </w:r>
      <w:r w:rsidRPr="00EB2E9A">
        <w:rPr>
          <w:rFonts w:ascii="Arial" w:hAnsi="Arial" w:cs="Arial"/>
        </w:rPr>
        <w:t>continue to be improved and refined on an iterative basis</w:t>
      </w:r>
      <w:r>
        <w:rPr>
          <w:rFonts w:ascii="Arial" w:hAnsi="Arial" w:cs="Arial"/>
        </w:rPr>
        <w:t>.</w:t>
      </w:r>
    </w:p>
    <w:p w14:paraId="55230C54" w14:textId="77777777" w:rsidR="00B824F8" w:rsidRDefault="00B824F8" w:rsidP="00B824F8">
      <w:pPr>
        <w:rPr>
          <w:rFonts w:ascii="Arial" w:hAnsi="Arial" w:cs="Arial"/>
        </w:rPr>
      </w:pPr>
    </w:p>
    <w:p w14:paraId="07C9BADD" w14:textId="5C247B18" w:rsidR="00286F51" w:rsidRDefault="00286F51" w:rsidP="00B824F8">
      <w:pPr>
        <w:rPr>
          <w:rFonts w:ascii="Arial" w:hAnsi="Arial" w:cs="Arial"/>
        </w:rPr>
      </w:pPr>
      <w:r>
        <w:rPr>
          <w:rFonts w:ascii="Arial" w:hAnsi="Arial" w:cs="Arial"/>
        </w:rPr>
        <w:t xml:space="preserve">This revised plan </w:t>
      </w:r>
      <w:r w:rsidR="00AB0850">
        <w:rPr>
          <w:rFonts w:ascii="Arial" w:hAnsi="Arial" w:cs="Arial"/>
        </w:rPr>
        <w:t>is due to</w:t>
      </w:r>
      <w:r>
        <w:rPr>
          <w:rFonts w:ascii="Arial" w:hAnsi="Arial" w:cs="Arial"/>
        </w:rPr>
        <w:t xml:space="preserve"> be submitted to the DfE </w:t>
      </w:r>
      <w:r w:rsidR="00780C46">
        <w:rPr>
          <w:rFonts w:ascii="Arial" w:hAnsi="Arial" w:cs="Arial"/>
        </w:rPr>
        <w:t>by 31st January 2023</w:t>
      </w:r>
      <w:r w:rsidR="00071F6A">
        <w:rPr>
          <w:rFonts w:ascii="Arial" w:hAnsi="Arial" w:cs="Arial"/>
        </w:rPr>
        <w:t xml:space="preserve"> and a summary is shown below</w:t>
      </w:r>
      <w:r w:rsidR="00780C46">
        <w:rPr>
          <w:rFonts w:ascii="Arial" w:hAnsi="Arial" w:cs="Arial"/>
        </w:rPr>
        <w:t>.</w:t>
      </w:r>
    </w:p>
    <w:p w14:paraId="35DC7A43" w14:textId="77777777" w:rsidR="00286F51" w:rsidRDefault="00286F51" w:rsidP="00B824F8">
      <w:pPr>
        <w:rPr>
          <w:rFonts w:ascii="Arial" w:hAnsi="Arial" w:cs="Arial"/>
        </w:rPr>
      </w:pPr>
    </w:p>
    <w:p w14:paraId="687E6F07" w14:textId="43B2214D" w:rsidR="004E4A52" w:rsidRPr="00F869FA" w:rsidRDefault="004E4A52" w:rsidP="005615CA">
      <w:pPr>
        <w:ind w:left="360"/>
        <w:rPr>
          <w:rFonts w:ascii="Arial" w:hAnsi="Arial" w:cs="Arial"/>
          <w:color w:val="1F4E79" w:themeColor="accent5" w:themeShade="80"/>
          <w:highlight w:val="yellow"/>
        </w:rPr>
        <w:sectPr w:rsidR="004E4A52" w:rsidRPr="00F869FA" w:rsidSect="0048518A">
          <w:pgSz w:w="11906" w:h="16838"/>
          <w:pgMar w:top="1134" w:right="1134" w:bottom="1134" w:left="1134" w:header="709" w:footer="709" w:gutter="0"/>
          <w:cols w:space="708"/>
          <w:docGrid w:linePitch="360"/>
        </w:sectPr>
      </w:pPr>
    </w:p>
    <w:tbl>
      <w:tblPr>
        <w:tblpPr w:leftFromText="180" w:rightFromText="180" w:vertAnchor="text" w:horzAnchor="margin" w:tblpXSpec="center" w:tblpY="-719"/>
        <w:tblW w:w="15735" w:type="dxa"/>
        <w:tblCellSpacing w:w="11" w:type="dxa"/>
        <w:tblCellMar>
          <w:left w:w="0" w:type="dxa"/>
          <w:right w:w="0" w:type="dxa"/>
        </w:tblCellMar>
        <w:tblLook w:val="0600" w:firstRow="0" w:lastRow="0" w:firstColumn="0" w:lastColumn="0" w:noHBand="1" w:noVBand="1"/>
      </w:tblPr>
      <w:tblGrid>
        <w:gridCol w:w="6980"/>
        <w:gridCol w:w="1248"/>
        <w:gridCol w:w="1249"/>
        <w:gridCol w:w="1249"/>
        <w:gridCol w:w="1250"/>
        <w:gridCol w:w="1249"/>
        <w:gridCol w:w="1249"/>
        <w:gridCol w:w="1261"/>
      </w:tblGrid>
      <w:tr w:rsidR="00525B4A" w:rsidRPr="009B7854" w14:paraId="5067828C"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92872A8" w14:textId="77777777" w:rsidR="00525B4A" w:rsidRPr="009B7854" w:rsidRDefault="00525B4A" w:rsidP="00F86EC9">
            <w:pPr>
              <w:pStyle w:val="Default"/>
              <w:rPr>
                <w:b/>
                <w:bCs/>
              </w:rPr>
            </w:pPr>
            <w:r w:rsidRPr="009B7854">
              <w:rPr>
                <w:b/>
                <w:bCs/>
              </w:rPr>
              <w:lastRenderedPageBreak/>
              <w:t>DSG Medium Term Plan</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FC375E4" w14:textId="77777777" w:rsidR="00525B4A" w:rsidRPr="009B7854" w:rsidRDefault="00525B4A" w:rsidP="00F86EC9">
            <w:pPr>
              <w:pStyle w:val="Default"/>
              <w:jc w:val="center"/>
              <w:rPr>
                <w:color w:val="FFFFFF" w:themeColor="background1"/>
              </w:rPr>
            </w:pPr>
            <w:r w:rsidRPr="009B7854">
              <w:rPr>
                <w:b/>
                <w:bCs/>
                <w:color w:val="FFFFFF" w:themeColor="background1"/>
              </w:rPr>
              <w:t>2022/23</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88E8404" w14:textId="77777777" w:rsidR="00525B4A" w:rsidRPr="009B7854" w:rsidRDefault="00525B4A" w:rsidP="00F86EC9">
            <w:pPr>
              <w:pStyle w:val="Default"/>
              <w:jc w:val="center"/>
              <w:rPr>
                <w:color w:val="FFFFFF" w:themeColor="background1"/>
              </w:rPr>
            </w:pPr>
            <w:r w:rsidRPr="009B7854">
              <w:rPr>
                <w:b/>
                <w:bCs/>
                <w:color w:val="FFFFFF" w:themeColor="background1"/>
              </w:rPr>
              <w:t>2023/24</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3E6B85A3" w14:textId="77777777" w:rsidR="00525B4A" w:rsidRPr="009B7854" w:rsidRDefault="00525B4A" w:rsidP="00F86EC9">
            <w:pPr>
              <w:pStyle w:val="Default"/>
              <w:jc w:val="center"/>
              <w:rPr>
                <w:color w:val="FFFFFF" w:themeColor="background1"/>
              </w:rPr>
            </w:pPr>
            <w:r w:rsidRPr="009B7854">
              <w:rPr>
                <w:b/>
                <w:bCs/>
                <w:color w:val="FFFFFF" w:themeColor="background1"/>
              </w:rPr>
              <w:t>2024/25</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3DF2A58B" w14:textId="77777777" w:rsidR="00525B4A" w:rsidRPr="009B7854" w:rsidRDefault="00525B4A" w:rsidP="00F86EC9">
            <w:pPr>
              <w:pStyle w:val="Default"/>
              <w:jc w:val="center"/>
              <w:rPr>
                <w:color w:val="FFFFFF" w:themeColor="background1"/>
              </w:rPr>
            </w:pPr>
            <w:r w:rsidRPr="009B7854">
              <w:rPr>
                <w:b/>
                <w:bCs/>
                <w:color w:val="FFFFFF" w:themeColor="background1"/>
              </w:rPr>
              <w:t>2025/26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0C58B7B" w14:textId="77777777" w:rsidR="00525B4A" w:rsidRPr="009B7854" w:rsidRDefault="00525B4A" w:rsidP="00F86EC9">
            <w:pPr>
              <w:pStyle w:val="Default"/>
              <w:jc w:val="center"/>
              <w:rPr>
                <w:color w:val="FFFFFF" w:themeColor="background1"/>
              </w:rPr>
            </w:pPr>
            <w:r w:rsidRPr="009B7854">
              <w:rPr>
                <w:b/>
                <w:bCs/>
                <w:color w:val="FFFFFF" w:themeColor="background1"/>
              </w:rPr>
              <w:t>2026/27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584BA2F" w14:textId="77777777" w:rsidR="00525B4A" w:rsidRPr="009B7854" w:rsidRDefault="00525B4A" w:rsidP="00F86EC9">
            <w:pPr>
              <w:pStyle w:val="Default"/>
              <w:jc w:val="center"/>
              <w:rPr>
                <w:color w:val="FFFFFF" w:themeColor="background1"/>
              </w:rPr>
            </w:pPr>
            <w:r w:rsidRPr="009B7854">
              <w:rPr>
                <w:b/>
                <w:bCs/>
                <w:color w:val="FFFFFF" w:themeColor="background1"/>
              </w:rPr>
              <w:t>2027/28</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FE7885F" w14:textId="77777777" w:rsidR="00525B4A" w:rsidRPr="009B7854" w:rsidRDefault="00525B4A" w:rsidP="00F86EC9">
            <w:pPr>
              <w:pStyle w:val="Default"/>
              <w:jc w:val="center"/>
              <w:rPr>
                <w:color w:val="FFFFFF" w:themeColor="background1"/>
              </w:rPr>
            </w:pPr>
            <w:r w:rsidRPr="009B7854">
              <w:rPr>
                <w:b/>
                <w:bCs/>
                <w:color w:val="FFFFFF" w:themeColor="background1"/>
              </w:rPr>
              <w:t>2028/29</w:t>
            </w:r>
          </w:p>
        </w:tc>
      </w:tr>
      <w:tr w:rsidR="00525B4A" w:rsidRPr="009B7854" w14:paraId="771F313E"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E080D20" w14:textId="77777777" w:rsidR="00525B4A" w:rsidRPr="009B7854" w:rsidRDefault="00525B4A" w:rsidP="00F86EC9">
            <w:pPr>
              <w:pStyle w:val="Default"/>
            </w:pPr>
            <w:r w:rsidRPr="009B7854">
              <w:t>High Needs Block DSG Income</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05EC5D6B" w14:textId="77777777" w:rsidR="00525B4A" w:rsidRPr="009B7854" w:rsidRDefault="00525B4A" w:rsidP="00F86EC9">
            <w:pPr>
              <w:pStyle w:val="Default"/>
              <w:jc w:val="right"/>
            </w:pPr>
            <w:r w:rsidRPr="009B7854">
              <w:t>-120.578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57C88EB6" w14:textId="77777777" w:rsidR="00525B4A" w:rsidRPr="009B7854" w:rsidRDefault="00525B4A" w:rsidP="00F86EC9">
            <w:pPr>
              <w:pStyle w:val="Default"/>
              <w:jc w:val="right"/>
            </w:pPr>
            <w:r w:rsidRPr="009B7854">
              <w:t>-135.212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4417C8D7" w14:textId="77777777" w:rsidR="00525B4A" w:rsidRPr="009B7854" w:rsidRDefault="00525B4A" w:rsidP="00F86EC9">
            <w:pPr>
              <w:pStyle w:val="Default"/>
              <w:jc w:val="right"/>
            </w:pPr>
            <w:r w:rsidRPr="009B7854">
              <w:t>-141.484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5F80A916" w14:textId="77777777" w:rsidR="00525B4A" w:rsidRPr="009B7854" w:rsidRDefault="00525B4A" w:rsidP="00F86EC9">
            <w:pPr>
              <w:pStyle w:val="Default"/>
              <w:jc w:val="right"/>
            </w:pPr>
            <w:r w:rsidRPr="009B7854">
              <w:t>-145.175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65E387AF" w14:textId="77777777" w:rsidR="00525B4A" w:rsidRPr="009B7854" w:rsidRDefault="00525B4A" w:rsidP="00F86EC9">
            <w:pPr>
              <w:pStyle w:val="Default"/>
              <w:jc w:val="right"/>
            </w:pPr>
            <w:r w:rsidRPr="009B7854">
              <w:t>-148.682</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64D9247B" w14:textId="77777777" w:rsidR="00525B4A" w:rsidRPr="009B7854" w:rsidRDefault="00525B4A" w:rsidP="00F86EC9">
            <w:pPr>
              <w:pStyle w:val="Default"/>
              <w:jc w:val="right"/>
            </w:pPr>
            <w:r w:rsidRPr="009B7854">
              <w:t>-152.865</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79596FB3" w14:textId="77777777" w:rsidR="00525B4A" w:rsidRPr="009B7854" w:rsidRDefault="00525B4A" w:rsidP="00F86EC9">
            <w:pPr>
              <w:pStyle w:val="Default"/>
              <w:jc w:val="right"/>
            </w:pPr>
            <w:r w:rsidRPr="009B7854">
              <w:t>-157.846</w:t>
            </w:r>
          </w:p>
        </w:tc>
      </w:tr>
      <w:tr w:rsidR="00525B4A" w:rsidRPr="009B7854" w14:paraId="30723489"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2B10440" w14:textId="77777777" w:rsidR="00525B4A" w:rsidRPr="009B7854" w:rsidRDefault="00525B4A" w:rsidP="00F86EC9">
            <w:pPr>
              <w:pStyle w:val="Default"/>
            </w:pPr>
            <w:r w:rsidRPr="009B7854">
              <w:t>1.5% Schools Block transfer</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5BFCADF1" w14:textId="77777777" w:rsidR="00525B4A" w:rsidRPr="009B7854" w:rsidRDefault="00525B4A" w:rsidP="00F86EC9">
            <w:pPr>
              <w:pStyle w:val="Default"/>
              <w:jc w:val="right"/>
            </w:pPr>
            <w:r w:rsidRPr="009B7854">
              <w:t>-8.529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07A9D438" w14:textId="77777777" w:rsidR="00525B4A" w:rsidRPr="009B7854" w:rsidRDefault="00525B4A" w:rsidP="00F86EC9">
            <w:pPr>
              <w:pStyle w:val="Default"/>
              <w:jc w:val="right"/>
            </w:pPr>
            <w:r w:rsidRPr="009B7854">
              <w:t>-9.015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193F0E69" w14:textId="77777777" w:rsidR="00525B4A" w:rsidRPr="009B7854" w:rsidRDefault="00525B4A" w:rsidP="00F86EC9">
            <w:pPr>
              <w:pStyle w:val="Default"/>
              <w:jc w:val="right"/>
            </w:pPr>
            <w:r w:rsidRPr="009B7854">
              <w:t>-9.196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2318901D" w14:textId="77777777" w:rsidR="00525B4A" w:rsidRPr="009B7854" w:rsidRDefault="00525B4A" w:rsidP="00F86EC9">
            <w:pPr>
              <w:pStyle w:val="Default"/>
              <w:jc w:val="right"/>
            </w:pPr>
            <w:r w:rsidRPr="009B7854">
              <w:t>-9.380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005D6455" w14:textId="77777777" w:rsidR="00525B4A" w:rsidRPr="009B7854" w:rsidRDefault="00525B4A" w:rsidP="00F86EC9">
            <w:pPr>
              <w:pStyle w:val="Default"/>
              <w:jc w:val="right"/>
            </w:pPr>
            <w:r w:rsidRPr="009B7854">
              <w:t>-9.567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19DEC269" w14:textId="77777777" w:rsidR="00525B4A" w:rsidRPr="009B7854" w:rsidRDefault="00525B4A" w:rsidP="00F86EC9">
            <w:pPr>
              <w:pStyle w:val="Default"/>
              <w:jc w:val="right"/>
            </w:pPr>
            <w:r w:rsidRPr="009B7854">
              <w:t>-9.759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hideMark/>
          </w:tcPr>
          <w:p w14:paraId="11D4EC19" w14:textId="77777777" w:rsidR="00525B4A" w:rsidRPr="009B7854" w:rsidRDefault="00525B4A" w:rsidP="00F86EC9">
            <w:pPr>
              <w:pStyle w:val="Default"/>
              <w:jc w:val="right"/>
            </w:pPr>
            <w:r w:rsidRPr="009B7854">
              <w:t>-9.954</w:t>
            </w:r>
          </w:p>
        </w:tc>
      </w:tr>
      <w:tr w:rsidR="00525B4A" w:rsidRPr="009B7854" w14:paraId="2906AE04"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856334F" w14:textId="77777777" w:rsidR="00525B4A" w:rsidRPr="009B7854" w:rsidRDefault="00525B4A" w:rsidP="00F86EC9">
            <w:pPr>
              <w:pStyle w:val="Default"/>
              <w:rPr>
                <w:color w:val="FFFFFF" w:themeColor="background1"/>
              </w:rPr>
            </w:pPr>
            <w:r w:rsidRPr="009B7854">
              <w:rPr>
                <w:b/>
                <w:bCs/>
                <w:color w:val="FFFFFF" w:themeColor="background1"/>
              </w:rPr>
              <w:t>Total income</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0DFB2AF4" w14:textId="77777777" w:rsidR="00525B4A" w:rsidRPr="009B7854" w:rsidRDefault="00525B4A" w:rsidP="00F86EC9">
            <w:pPr>
              <w:pStyle w:val="Default"/>
              <w:jc w:val="right"/>
              <w:rPr>
                <w:b/>
                <w:bCs/>
                <w:color w:val="FFFFFF" w:themeColor="background1"/>
              </w:rPr>
            </w:pPr>
            <w:r w:rsidRPr="009B7854">
              <w:rPr>
                <w:b/>
                <w:bCs/>
                <w:color w:val="FFFFFF" w:themeColor="background1"/>
              </w:rPr>
              <w:t>-129.107</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77AB9087" w14:textId="77777777" w:rsidR="00525B4A" w:rsidRPr="009B7854" w:rsidRDefault="00525B4A" w:rsidP="00F86EC9">
            <w:pPr>
              <w:pStyle w:val="Default"/>
              <w:jc w:val="right"/>
              <w:rPr>
                <w:b/>
                <w:bCs/>
                <w:color w:val="FFFFFF" w:themeColor="background1"/>
              </w:rPr>
            </w:pPr>
            <w:r w:rsidRPr="009B7854">
              <w:rPr>
                <w:b/>
                <w:bCs/>
                <w:color w:val="FFFFFF" w:themeColor="background1"/>
              </w:rPr>
              <w:t>-144.228</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0BD48C99" w14:textId="77777777" w:rsidR="00525B4A" w:rsidRPr="009B7854" w:rsidRDefault="00525B4A" w:rsidP="00F86EC9">
            <w:pPr>
              <w:pStyle w:val="Default"/>
              <w:jc w:val="right"/>
              <w:rPr>
                <w:b/>
                <w:bCs/>
                <w:color w:val="FFFFFF" w:themeColor="background1"/>
              </w:rPr>
            </w:pPr>
            <w:r w:rsidRPr="009B7854">
              <w:rPr>
                <w:b/>
                <w:bCs/>
                <w:color w:val="FFFFFF" w:themeColor="background1"/>
              </w:rPr>
              <w:t>-150.680</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74227F4E" w14:textId="77777777" w:rsidR="00525B4A" w:rsidRPr="009B7854" w:rsidRDefault="00525B4A" w:rsidP="00F86EC9">
            <w:pPr>
              <w:pStyle w:val="Default"/>
              <w:jc w:val="right"/>
              <w:rPr>
                <w:b/>
                <w:bCs/>
                <w:color w:val="FFFFFF" w:themeColor="background1"/>
              </w:rPr>
            </w:pPr>
            <w:r w:rsidRPr="009B7854">
              <w:rPr>
                <w:b/>
                <w:bCs/>
                <w:color w:val="FFFFFF" w:themeColor="background1"/>
              </w:rPr>
              <w:t>-154.555</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6A7AB63D" w14:textId="77777777" w:rsidR="00525B4A" w:rsidRPr="009B7854" w:rsidRDefault="00525B4A" w:rsidP="00F86EC9">
            <w:pPr>
              <w:pStyle w:val="Default"/>
              <w:jc w:val="right"/>
              <w:rPr>
                <w:b/>
                <w:bCs/>
                <w:color w:val="FFFFFF" w:themeColor="background1"/>
              </w:rPr>
            </w:pPr>
            <w:r w:rsidRPr="009B7854">
              <w:rPr>
                <w:b/>
                <w:bCs/>
                <w:color w:val="FFFFFF" w:themeColor="background1"/>
              </w:rPr>
              <w:t>-158.249</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00AE3960" w14:textId="77777777" w:rsidR="00525B4A" w:rsidRPr="009B7854" w:rsidRDefault="00525B4A" w:rsidP="00F86EC9">
            <w:pPr>
              <w:pStyle w:val="Default"/>
              <w:jc w:val="right"/>
              <w:rPr>
                <w:b/>
                <w:bCs/>
                <w:color w:val="FFFFFF" w:themeColor="background1"/>
              </w:rPr>
            </w:pPr>
            <w:r w:rsidRPr="009B7854">
              <w:rPr>
                <w:b/>
                <w:bCs/>
                <w:color w:val="FFFFFF" w:themeColor="background1"/>
              </w:rPr>
              <w:t>-162.623</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hideMark/>
          </w:tcPr>
          <w:p w14:paraId="36DBCAFA" w14:textId="77777777" w:rsidR="00525B4A" w:rsidRPr="009B7854" w:rsidRDefault="00525B4A" w:rsidP="00F86EC9">
            <w:pPr>
              <w:pStyle w:val="Default"/>
              <w:jc w:val="right"/>
              <w:rPr>
                <w:b/>
                <w:bCs/>
                <w:color w:val="FFFFFF" w:themeColor="background1"/>
              </w:rPr>
            </w:pPr>
            <w:r w:rsidRPr="009B7854">
              <w:rPr>
                <w:b/>
                <w:bCs/>
                <w:color w:val="FFFFFF" w:themeColor="background1"/>
              </w:rPr>
              <w:t>-167.800</w:t>
            </w:r>
          </w:p>
        </w:tc>
      </w:tr>
      <w:tr w:rsidR="00525B4A" w:rsidRPr="009B7854" w14:paraId="2A76E8D3"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04EA28E" w14:textId="77777777" w:rsidR="00525B4A" w:rsidRPr="009B7854" w:rsidRDefault="00525B4A" w:rsidP="00F86EC9">
            <w:pPr>
              <w:pStyle w:val="Default"/>
            </w:pPr>
            <w:r w:rsidRPr="009B7854">
              <w:t>Maintained / Academy / Free Special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3BEBF8E" w14:textId="77777777" w:rsidR="00525B4A" w:rsidRPr="009B7854" w:rsidRDefault="00525B4A" w:rsidP="00F86EC9">
            <w:pPr>
              <w:pStyle w:val="Default"/>
              <w:jc w:val="right"/>
            </w:pPr>
            <w:r w:rsidRPr="009B7854">
              <w:t>46.878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C79D9B" w14:textId="77777777" w:rsidR="00525B4A" w:rsidRPr="009B7854" w:rsidRDefault="00525B4A" w:rsidP="00F86EC9">
            <w:pPr>
              <w:pStyle w:val="Default"/>
              <w:jc w:val="right"/>
            </w:pPr>
            <w:r w:rsidRPr="009B7854">
              <w:t>53.584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FF5FE34" w14:textId="77777777" w:rsidR="00525B4A" w:rsidRPr="009B7854" w:rsidRDefault="00525B4A" w:rsidP="00F86EC9">
            <w:pPr>
              <w:pStyle w:val="Default"/>
              <w:jc w:val="right"/>
            </w:pPr>
            <w:r w:rsidRPr="009B7854">
              <w:t>56.351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B25E1E4" w14:textId="77777777" w:rsidR="00525B4A" w:rsidRPr="009B7854" w:rsidRDefault="00525B4A" w:rsidP="00F86EC9">
            <w:pPr>
              <w:pStyle w:val="Default"/>
              <w:jc w:val="right"/>
            </w:pPr>
            <w:r w:rsidRPr="009B7854">
              <w:t>58.883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757A8DE" w14:textId="77777777" w:rsidR="00525B4A" w:rsidRPr="009B7854" w:rsidRDefault="00525B4A" w:rsidP="00F86EC9">
            <w:pPr>
              <w:pStyle w:val="Default"/>
              <w:jc w:val="right"/>
            </w:pPr>
            <w:r w:rsidRPr="009B7854">
              <w:t>62.115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8F6199A" w14:textId="77777777" w:rsidR="00525B4A" w:rsidRPr="009B7854" w:rsidRDefault="00525B4A" w:rsidP="00F86EC9">
            <w:pPr>
              <w:pStyle w:val="Default"/>
              <w:jc w:val="right"/>
            </w:pPr>
            <w:r w:rsidRPr="009B7854">
              <w:t>64.828</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440F153" w14:textId="77777777" w:rsidR="00525B4A" w:rsidRPr="009B7854" w:rsidRDefault="00525B4A" w:rsidP="00F86EC9">
            <w:pPr>
              <w:pStyle w:val="Default"/>
              <w:jc w:val="right"/>
            </w:pPr>
            <w:r w:rsidRPr="009B7854">
              <w:t>67.038</w:t>
            </w:r>
          </w:p>
        </w:tc>
      </w:tr>
      <w:tr w:rsidR="00525B4A" w:rsidRPr="009B7854" w14:paraId="598E37EC"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ECEC12B" w14:textId="77777777" w:rsidR="00525B4A" w:rsidRPr="009B7854" w:rsidRDefault="00525B4A" w:rsidP="00F86EC9">
            <w:pPr>
              <w:pStyle w:val="Default"/>
            </w:pPr>
            <w:proofErr w:type="spellStart"/>
            <w:r w:rsidRPr="009B7854">
              <w:rPr>
                <w:lang w:val="fr-FR"/>
              </w:rPr>
              <w:t>Specialist</w:t>
            </w:r>
            <w:proofErr w:type="spellEnd"/>
            <w:r w:rsidRPr="009B7854">
              <w:rPr>
                <w:lang w:val="fr-FR"/>
              </w:rPr>
              <w:t xml:space="preserve"> Resource Bases &amp; </w:t>
            </w:r>
            <w:proofErr w:type="spellStart"/>
            <w:r w:rsidRPr="009B7854">
              <w:rPr>
                <w:lang w:val="fr-FR"/>
              </w:rPr>
              <w:t>Deaf</w:t>
            </w:r>
            <w:proofErr w:type="spellEnd"/>
            <w:r w:rsidRPr="009B7854">
              <w:rPr>
                <w:lang w:val="fr-FR"/>
              </w:rPr>
              <w:t xml:space="preserve"> Resource Bases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CD55248" w14:textId="77777777" w:rsidR="00525B4A" w:rsidRPr="009B7854" w:rsidRDefault="00525B4A" w:rsidP="00F86EC9">
            <w:pPr>
              <w:pStyle w:val="Default"/>
              <w:jc w:val="right"/>
            </w:pPr>
            <w:r w:rsidRPr="009B7854">
              <w:t>6.314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EC26ED2" w14:textId="77777777" w:rsidR="00525B4A" w:rsidRPr="009B7854" w:rsidRDefault="00525B4A" w:rsidP="00F86EC9">
            <w:pPr>
              <w:pStyle w:val="Default"/>
              <w:jc w:val="right"/>
            </w:pPr>
            <w:r w:rsidRPr="009B7854">
              <w:t>7.966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4223FE2" w14:textId="77777777" w:rsidR="00525B4A" w:rsidRPr="009B7854" w:rsidRDefault="00525B4A" w:rsidP="00F86EC9">
            <w:pPr>
              <w:pStyle w:val="Default"/>
              <w:jc w:val="right"/>
            </w:pPr>
            <w:r w:rsidRPr="009B7854">
              <w:t>10.466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0F9B9E2" w14:textId="77777777" w:rsidR="00525B4A" w:rsidRPr="009B7854" w:rsidRDefault="00525B4A" w:rsidP="00F86EC9">
            <w:pPr>
              <w:pStyle w:val="Default"/>
              <w:jc w:val="right"/>
            </w:pPr>
            <w:r w:rsidRPr="009B7854">
              <w:t>14.291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75D0BCF" w14:textId="77777777" w:rsidR="00525B4A" w:rsidRPr="009B7854" w:rsidRDefault="00525B4A" w:rsidP="00F86EC9">
            <w:pPr>
              <w:pStyle w:val="Default"/>
              <w:jc w:val="right"/>
            </w:pPr>
            <w:r w:rsidRPr="009B7854">
              <w:t>17.959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79AF5F0" w14:textId="77777777" w:rsidR="00525B4A" w:rsidRPr="009B7854" w:rsidRDefault="00525B4A" w:rsidP="00F86EC9">
            <w:pPr>
              <w:pStyle w:val="Default"/>
              <w:jc w:val="right"/>
            </w:pPr>
            <w:r w:rsidRPr="009B7854">
              <w:t>19.497</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ED9EE0E" w14:textId="77777777" w:rsidR="00525B4A" w:rsidRPr="009B7854" w:rsidRDefault="00525B4A" w:rsidP="00F86EC9">
            <w:pPr>
              <w:pStyle w:val="Default"/>
              <w:jc w:val="right"/>
            </w:pPr>
            <w:r w:rsidRPr="009B7854">
              <w:t>19.887</w:t>
            </w:r>
          </w:p>
        </w:tc>
      </w:tr>
      <w:tr w:rsidR="00525B4A" w:rsidRPr="009B7854" w14:paraId="59B27D69"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0043259" w14:textId="77777777" w:rsidR="00525B4A" w:rsidRPr="009B7854" w:rsidRDefault="00525B4A" w:rsidP="00F86EC9">
            <w:pPr>
              <w:pStyle w:val="Default"/>
            </w:pPr>
            <w:r w:rsidRPr="009B7854">
              <w:t>Independent Special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C0C6375" w14:textId="77777777" w:rsidR="00525B4A" w:rsidRPr="009B7854" w:rsidRDefault="00525B4A" w:rsidP="00F86EC9">
            <w:pPr>
              <w:pStyle w:val="Default"/>
              <w:jc w:val="right"/>
            </w:pPr>
            <w:r w:rsidRPr="009B7854">
              <w:t>42.771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2508BA0" w14:textId="77777777" w:rsidR="00525B4A" w:rsidRPr="009B7854" w:rsidRDefault="00525B4A" w:rsidP="00F86EC9">
            <w:pPr>
              <w:pStyle w:val="Default"/>
              <w:jc w:val="right"/>
            </w:pPr>
            <w:r w:rsidRPr="009B7854">
              <w:t>47.424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7092003" w14:textId="77777777" w:rsidR="00525B4A" w:rsidRPr="009B7854" w:rsidRDefault="00525B4A" w:rsidP="00F86EC9">
            <w:pPr>
              <w:pStyle w:val="Default"/>
              <w:jc w:val="right"/>
            </w:pPr>
            <w:r w:rsidRPr="009B7854">
              <w:t>41.437</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41DF758" w14:textId="77777777" w:rsidR="00525B4A" w:rsidRPr="009B7854" w:rsidRDefault="00525B4A" w:rsidP="00F86EC9">
            <w:pPr>
              <w:pStyle w:val="Default"/>
              <w:jc w:val="right"/>
            </w:pPr>
            <w:r w:rsidRPr="009B7854">
              <w:t>29.825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CA6DD28" w14:textId="77777777" w:rsidR="00525B4A" w:rsidRPr="009B7854" w:rsidRDefault="00525B4A" w:rsidP="00F86EC9">
            <w:pPr>
              <w:pStyle w:val="Default"/>
              <w:jc w:val="right"/>
            </w:pPr>
            <w:r w:rsidRPr="009B7854">
              <w:t>16.910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87F40D7" w14:textId="77777777" w:rsidR="00525B4A" w:rsidRPr="009B7854" w:rsidRDefault="00525B4A" w:rsidP="00F86EC9">
            <w:pPr>
              <w:pStyle w:val="Default"/>
              <w:jc w:val="right"/>
            </w:pPr>
            <w:r w:rsidRPr="009B7854">
              <w:t>7.427</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4E754F2" w14:textId="77777777" w:rsidR="00525B4A" w:rsidRPr="009B7854" w:rsidRDefault="00525B4A" w:rsidP="00F86EC9">
            <w:pPr>
              <w:pStyle w:val="Default"/>
              <w:jc w:val="right"/>
            </w:pPr>
            <w:r w:rsidRPr="009B7854">
              <w:t>6.908</w:t>
            </w:r>
          </w:p>
        </w:tc>
      </w:tr>
      <w:tr w:rsidR="00525B4A" w:rsidRPr="009B7854" w14:paraId="58028557"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F821982" w14:textId="77777777" w:rsidR="00525B4A" w:rsidRPr="009B7854" w:rsidRDefault="00525B4A" w:rsidP="00F86EC9">
            <w:pPr>
              <w:pStyle w:val="Default"/>
            </w:pPr>
            <w:r w:rsidRPr="009B7854">
              <w:t>Alternative Provision</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D196D70" w14:textId="77777777" w:rsidR="00525B4A" w:rsidRPr="009B7854" w:rsidRDefault="00525B4A" w:rsidP="00F86EC9">
            <w:pPr>
              <w:pStyle w:val="Default"/>
              <w:jc w:val="right"/>
            </w:pPr>
            <w:r w:rsidRPr="009B7854">
              <w:t>2.133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3883A07" w14:textId="77777777" w:rsidR="00525B4A" w:rsidRPr="009B7854" w:rsidRDefault="00525B4A" w:rsidP="00F86EC9">
            <w:pPr>
              <w:pStyle w:val="Default"/>
              <w:jc w:val="right"/>
            </w:pPr>
            <w:r w:rsidRPr="009B7854">
              <w:t>2.110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C26FE4D" w14:textId="77777777" w:rsidR="00525B4A" w:rsidRPr="009B7854" w:rsidRDefault="00525B4A" w:rsidP="00F86EC9">
            <w:pPr>
              <w:pStyle w:val="Default"/>
              <w:jc w:val="right"/>
            </w:pPr>
            <w:r w:rsidRPr="009B7854">
              <w:t>2.007</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EF6AF0E" w14:textId="77777777" w:rsidR="00525B4A" w:rsidRPr="009B7854" w:rsidRDefault="00525B4A" w:rsidP="00F86EC9">
            <w:pPr>
              <w:pStyle w:val="Default"/>
              <w:jc w:val="right"/>
            </w:pPr>
            <w:r w:rsidRPr="009B7854">
              <w:t>1.894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8A6992F" w14:textId="77777777" w:rsidR="00525B4A" w:rsidRPr="009B7854" w:rsidRDefault="00525B4A" w:rsidP="00F86EC9">
            <w:pPr>
              <w:pStyle w:val="Default"/>
              <w:jc w:val="right"/>
            </w:pPr>
            <w:r w:rsidRPr="009B7854">
              <w:t>1.783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A4F6588" w14:textId="77777777" w:rsidR="00525B4A" w:rsidRPr="009B7854" w:rsidRDefault="00525B4A" w:rsidP="00F86EC9">
            <w:pPr>
              <w:pStyle w:val="Default"/>
              <w:jc w:val="right"/>
            </w:pPr>
            <w:r w:rsidRPr="009B7854">
              <w:t>1.662</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2F6FADC" w14:textId="77777777" w:rsidR="00525B4A" w:rsidRPr="009B7854" w:rsidRDefault="00525B4A" w:rsidP="00F86EC9">
            <w:pPr>
              <w:pStyle w:val="Default"/>
              <w:jc w:val="right"/>
            </w:pPr>
            <w:r w:rsidRPr="009B7854">
              <w:t>1.552</w:t>
            </w:r>
          </w:p>
        </w:tc>
      </w:tr>
      <w:tr w:rsidR="00525B4A" w:rsidRPr="009B7854" w14:paraId="630AEC7B"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3C23604" w14:textId="77777777" w:rsidR="00525B4A" w:rsidRPr="009B7854" w:rsidRDefault="00525B4A" w:rsidP="00F86EC9">
            <w:pPr>
              <w:pStyle w:val="Default"/>
            </w:pPr>
            <w:r w:rsidRPr="009B7854">
              <w:t>Short Stay Schools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C9F3F5F" w14:textId="77777777" w:rsidR="00525B4A" w:rsidRPr="009B7854" w:rsidRDefault="00525B4A" w:rsidP="00F86EC9">
            <w:pPr>
              <w:pStyle w:val="Default"/>
              <w:jc w:val="right"/>
            </w:pPr>
            <w:r w:rsidRPr="009B7854">
              <w:t>8.400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44F0C89" w14:textId="77777777" w:rsidR="00525B4A" w:rsidRPr="009B7854" w:rsidRDefault="00525B4A" w:rsidP="00F86EC9">
            <w:pPr>
              <w:pStyle w:val="Default"/>
              <w:jc w:val="right"/>
            </w:pPr>
            <w:r w:rsidRPr="009B7854">
              <w:t>8.831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7A0A255" w14:textId="77777777" w:rsidR="00525B4A" w:rsidRPr="009B7854" w:rsidRDefault="00525B4A" w:rsidP="00F86EC9">
            <w:pPr>
              <w:pStyle w:val="Default"/>
              <w:jc w:val="right"/>
            </w:pPr>
            <w:r w:rsidRPr="009B7854">
              <w:t>8.203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8808A6C" w14:textId="77777777" w:rsidR="00525B4A" w:rsidRPr="009B7854" w:rsidRDefault="00525B4A" w:rsidP="00F86EC9">
            <w:pPr>
              <w:pStyle w:val="Default"/>
              <w:jc w:val="right"/>
            </w:pPr>
            <w:r w:rsidRPr="009B7854">
              <w:t>7.578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64B0829" w14:textId="77777777" w:rsidR="00525B4A" w:rsidRPr="009B7854" w:rsidRDefault="00525B4A" w:rsidP="00F86EC9">
            <w:pPr>
              <w:pStyle w:val="Default"/>
              <w:jc w:val="right"/>
            </w:pPr>
            <w:r w:rsidRPr="009B7854">
              <w:t>6.957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784C5D7" w14:textId="77777777" w:rsidR="00525B4A" w:rsidRPr="009B7854" w:rsidRDefault="00525B4A" w:rsidP="00F86EC9">
            <w:pPr>
              <w:pStyle w:val="Default"/>
              <w:jc w:val="right"/>
            </w:pPr>
            <w:r w:rsidRPr="009B7854">
              <w:t>6.339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BA6A4BF" w14:textId="77777777" w:rsidR="00525B4A" w:rsidRPr="009B7854" w:rsidRDefault="00525B4A" w:rsidP="00F86EC9">
            <w:pPr>
              <w:pStyle w:val="Default"/>
              <w:jc w:val="right"/>
            </w:pPr>
            <w:r w:rsidRPr="009B7854">
              <w:t>5.726</w:t>
            </w:r>
          </w:p>
        </w:tc>
      </w:tr>
      <w:tr w:rsidR="00525B4A" w:rsidRPr="009B7854" w14:paraId="4B282E3E"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51F1442" w14:textId="77777777" w:rsidR="00525B4A" w:rsidRPr="009B7854" w:rsidRDefault="00525B4A" w:rsidP="00F86EC9">
            <w:pPr>
              <w:pStyle w:val="Default"/>
            </w:pPr>
            <w:r w:rsidRPr="009B7854">
              <w:t>Post-16 (Further Education)</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458FF32" w14:textId="77777777" w:rsidR="00525B4A" w:rsidRPr="009B7854" w:rsidRDefault="00525B4A" w:rsidP="00F86EC9">
            <w:pPr>
              <w:pStyle w:val="Default"/>
              <w:jc w:val="right"/>
            </w:pPr>
            <w:r w:rsidRPr="009B7854">
              <w:t>8.173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542E51F" w14:textId="77777777" w:rsidR="00525B4A" w:rsidRPr="009B7854" w:rsidRDefault="00525B4A" w:rsidP="00F86EC9">
            <w:pPr>
              <w:pStyle w:val="Default"/>
              <w:jc w:val="right"/>
            </w:pPr>
            <w:r w:rsidRPr="009B7854">
              <w:t>8.631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25CCCCC" w14:textId="77777777" w:rsidR="00525B4A" w:rsidRPr="009B7854" w:rsidRDefault="00525B4A" w:rsidP="00F86EC9">
            <w:pPr>
              <w:pStyle w:val="Default"/>
              <w:jc w:val="right"/>
            </w:pPr>
            <w:r w:rsidRPr="009B7854">
              <w:t>8.864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D299596" w14:textId="77777777" w:rsidR="00525B4A" w:rsidRPr="009B7854" w:rsidRDefault="00525B4A" w:rsidP="00F86EC9">
            <w:pPr>
              <w:pStyle w:val="Default"/>
              <w:jc w:val="right"/>
            </w:pPr>
            <w:r w:rsidRPr="009B7854">
              <w:t>8.620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F5C6F69" w14:textId="77777777" w:rsidR="00525B4A" w:rsidRPr="009B7854" w:rsidRDefault="00525B4A" w:rsidP="00F86EC9">
            <w:pPr>
              <w:pStyle w:val="Default"/>
              <w:jc w:val="right"/>
            </w:pPr>
            <w:r w:rsidRPr="009B7854">
              <w:t>8.386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82AF9C5" w14:textId="77777777" w:rsidR="00525B4A" w:rsidRPr="009B7854" w:rsidRDefault="00525B4A" w:rsidP="00F86EC9">
            <w:pPr>
              <w:pStyle w:val="Default"/>
              <w:jc w:val="right"/>
            </w:pPr>
            <w:r w:rsidRPr="009B7854">
              <w:t>8.160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3BCC041" w14:textId="77777777" w:rsidR="00525B4A" w:rsidRPr="009B7854" w:rsidRDefault="00525B4A" w:rsidP="00F86EC9">
            <w:pPr>
              <w:pStyle w:val="Default"/>
              <w:jc w:val="right"/>
            </w:pPr>
            <w:r w:rsidRPr="009B7854">
              <w:t>7.960</w:t>
            </w:r>
          </w:p>
        </w:tc>
      </w:tr>
      <w:tr w:rsidR="00525B4A" w:rsidRPr="009B7854" w14:paraId="35F19747"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F82D5F1" w14:textId="77777777" w:rsidR="00525B4A" w:rsidRPr="009B7854" w:rsidRDefault="00525B4A" w:rsidP="00F86EC9">
            <w:pPr>
              <w:pStyle w:val="Default"/>
            </w:pPr>
            <w:r w:rsidRPr="009B7854">
              <w:t>Other Provisions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9565B17" w14:textId="77777777" w:rsidR="00525B4A" w:rsidRPr="009B7854" w:rsidRDefault="00525B4A" w:rsidP="00F86EC9">
            <w:pPr>
              <w:pStyle w:val="Default"/>
              <w:jc w:val="right"/>
            </w:pPr>
            <w:r w:rsidRPr="009B7854">
              <w:t>5.027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0F14158" w14:textId="77777777" w:rsidR="00525B4A" w:rsidRPr="009B7854" w:rsidRDefault="00525B4A" w:rsidP="00F86EC9">
            <w:pPr>
              <w:pStyle w:val="Default"/>
              <w:jc w:val="right"/>
            </w:pPr>
            <w:r w:rsidRPr="009B7854">
              <w:t>4.238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264AB75" w14:textId="77777777" w:rsidR="00525B4A" w:rsidRPr="009B7854" w:rsidRDefault="00525B4A" w:rsidP="00F86EC9">
            <w:pPr>
              <w:pStyle w:val="Default"/>
              <w:jc w:val="right"/>
            </w:pPr>
            <w:r w:rsidRPr="009B7854">
              <w:t>3.866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B125CDA" w14:textId="77777777" w:rsidR="00525B4A" w:rsidRPr="009B7854" w:rsidRDefault="00525B4A" w:rsidP="00F86EC9">
            <w:pPr>
              <w:pStyle w:val="Default"/>
              <w:jc w:val="right"/>
            </w:pPr>
            <w:r w:rsidRPr="009B7854">
              <w:t>3.514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A80FDA0" w14:textId="77777777" w:rsidR="00525B4A" w:rsidRPr="009B7854" w:rsidRDefault="00525B4A" w:rsidP="00F86EC9">
            <w:pPr>
              <w:pStyle w:val="Default"/>
              <w:jc w:val="right"/>
            </w:pPr>
            <w:r w:rsidRPr="009B7854">
              <w:t>3.133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18EB939" w14:textId="77777777" w:rsidR="00525B4A" w:rsidRPr="009B7854" w:rsidRDefault="00525B4A" w:rsidP="00F86EC9">
            <w:pPr>
              <w:pStyle w:val="Default"/>
              <w:jc w:val="right"/>
            </w:pPr>
            <w:r w:rsidRPr="009B7854">
              <w:t>2.793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B6467DE" w14:textId="77777777" w:rsidR="00525B4A" w:rsidRPr="009B7854" w:rsidRDefault="00525B4A" w:rsidP="00F86EC9">
            <w:pPr>
              <w:pStyle w:val="Default"/>
              <w:jc w:val="right"/>
            </w:pPr>
            <w:r w:rsidRPr="009B7854">
              <w:t>2.393</w:t>
            </w:r>
          </w:p>
        </w:tc>
      </w:tr>
      <w:tr w:rsidR="00525B4A" w:rsidRPr="009B7854" w14:paraId="1F52DD21"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04545C1" w14:textId="77777777" w:rsidR="00525B4A" w:rsidRPr="009B7854" w:rsidRDefault="00525B4A" w:rsidP="00F86EC9">
            <w:pPr>
              <w:pStyle w:val="Default"/>
            </w:pPr>
            <w:r w:rsidRPr="009B7854">
              <w:t>Inclusion fund (including mainstream SEN / EHCP support)</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C91B11D" w14:textId="77777777" w:rsidR="00525B4A" w:rsidRPr="009B7854" w:rsidRDefault="00525B4A" w:rsidP="00F86EC9">
            <w:pPr>
              <w:pStyle w:val="Default"/>
              <w:jc w:val="right"/>
            </w:pPr>
            <w:r w:rsidRPr="009B7854">
              <w:t>20.176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C4481A0" w14:textId="77777777" w:rsidR="00525B4A" w:rsidRPr="009B7854" w:rsidRDefault="00525B4A" w:rsidP="00F86EC9">
            <w:pPr>
              <w:pStyle w:val="Default"/>
              <w:jc w:val="right"/>
            </w:pPr>
            <w:r w:rsidRPr="009B7854">
              <w:t>23.265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B2D93AB" w14:textId="77777777" w:rsidR="00525B4A" w:rsidRPr="009B7854" w:rsidRDefault="00525B4A" w:rsidP="00F86EC9">
            <w:pPr>
              <w:pStyle w:val="Default"/>
              <w:jc w:val="right"/>
            </w:pPr>
            <w:r w:rsidRPr="009B7854">
              <w:t>25.118</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E86D7F8" w14:textId="77777777" w:rsidR="00525B4A" w:rsidRPr="009B7854" w:rsidRDefault="00525B4A" w:rsidP="00F86EC9">
            <w:pPr>
              <w:pStyle w:val="Default"/>
              <w:jc w:val="right"/>
            </w:pPr>
            <w:r w:rsidRPr="009B7854">
              <w:t>26.533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6181E8E" w14:textId="77777777" w:rsidR="00525B4A" w:rsidRPr="009B7854" w:rsidRDefault="00525B4A" w:rsidP="00F86EC9">
            <w:pPr>
              <w:pStyle w:val="Default"/>
              <w:jc w:val="right"/>
            </w:pPr>
            <w:r w:rsidRPr="009B7854">
              <w:t>27.310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6592925" w14:textId="77777777" w:rsidR="00525B4A" w:rsidRPr="009B7854" w:rsidRDefault="00525B4A" w:rsidP="00F86EC9">
            <w:pPr>
              <w:pStyle w:val="Default"/>
              <w:jc w:val="right"/>
            </w:pPr>
            <w:r w:rsidRPr="009B7854">
              <w:t>27.589</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58C3825" w14:textId="77777777" w:rsidR="00525B4A" w:rsidRPr="009B7854" w:rsidRDefault="00525B4A" w:rsidP="00F86EC9">
            <w:pPr>
              <w:pStyle w:val="Default"/>
              <w:jc w:val="right"/>
            </w:pPr>
            <w:r w:rsidRPr="009B7854">
              <w:t>27.370</w:t>
            </w:r>
          </w:p>
        </w:tc>
      </w:tr>
      <w:tr w:rsidR="00525B4A" w:rsidRPr="009B7854" w14:paraId="41E60259"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8F9EDDD" w14:textId="77777777" w:rsidR="00525B4A" w:rsidRPr="009B7854" w:rsidRDefault="00525B4A" w:rsidP="00F86EC9">
            <w:pPr>
              <w:pStyle w:val="Default"/>
            </w:pPr>
            <w:r w:rsidRPr="009B7854">
              <w:t>Speech &amp; Language, Sensory, Youth Offending and Child &amp; Adolescent Mental Health support &amp; contributions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7271DF0" w14:textId="77777777" w:rsidR="00525B4A" w:rsidRPr="009B7854" w:rsidRDefault="00525B4A" w:rsidP="00F86EC9">
            <w:pPr>
              <w:pStyle w:val="Default"/>
              <w:jc w:val="right"/>
            </w:pPr>
            <w:r w:rsidRPr="009B7854">
              <w:t>3.551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2B4542E" w14:textId="77777777" w:rsidR="00525B4A" w:rsidRPr="009B7854" w:rsidRDefault="00525B4A" w:rsidP="00F86EC9">
            <w:pPr>
              <w:pStyle w:val="Default"/>
              <w:jc w:val="right"/>
            </w:pPr>
            <w:r w:rsidRPr="009B7854">
              <w:t>3.680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B0E5A4E" w14:textId="77777777" w:rsidR="00525B4A" w:rsidRPr="009B7854" w:rsidRDefault="00525B4A" w:rsidP="00F86EC9">
            <w:pPr>
              <w:pStyle w:val="Default"/>
              <w:jc w:val="right"/>
            </w:pPr>
            <w:r w:rsidRPr="009B7854">
              <w:t>3.744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0AB23E6" w14:textId="77777777" w:rsidR="00525B4A" w:rsidRPr="009B7854" w:rsidRDefault="00525B4A" w:rsidP="00F86EC9">
            <w:pPr>
              <w:pStyle w:val="Default"/>
              <w:jc w:val="right"/>
            </w:pPr>
            <w:r w:rsidRPr="009B7854">
              <w:t>3.841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08D05ED" w14:textId="77777777" w:rsidR="00525B4A" w:rsidRPr="009B7854" w:rsidRDefault="00525B4A" w:rsidP="00F86EC9">
            <w:pPr>
              <w:pStyle w:val="Default"/>
              <w:jc w:val="right"/>
            </w:pPr>
            <w:r w:rsidRPr="009B7854">
              <w:t>3.940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D2900A2" w14:textId="77777777" w:rsidR="00525B4A" w:rsidRPr="009B7854" w:rsidRDefault="00525B4A" w:rsidP="00F86EC9">
            <w:pPr>
              <w:pStyle w:val="Default"/>
              <w:jc w:val="right"/>
            </w:pPr>
            <w:r w:rsidRPr="009B7854">
              <w:t>4.042</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90A0EC8" w14:textId="77777777" w:rsidR="00525B4A" w:rsidRPr="009B7854" w:rsidRDefault="00525B4A" w:rsidP="00F86EC9">
            <w:pPr>
              <w:pStyle w:val="Default"/>
              <w:jc w:val="right"/>
            </w:pPr>
            <w:r w:rsidRPr="009B7854">
              <w:t>4.146</w:t>
            </w:r>
          </w:p>
        </w:tc>
      </w:tr>
      <w:tr w:rsidR="00525B4A" w:rsidRPr="009B7854" w14:paraId="5457D2B4"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FF4D531" w14:textId="77777777" w:rsidR="00525B4A" w:rsidRPr="009B7854" w:rsidRDefault="00525B4A" w:rsidP="00F86EC9">
            <w:pPr>
              <w:pStyle w:val="Default"/>
            </w:pPr>
            <w:r w:rsidRPr="009B7854">
              <w:t>High Needs Inclusion Infrastructure, cluster teams including parent link workers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EA38FDE" w14:textId="77777777" w:rsidR="00525B4A" w:rsidRPr="009B7854" w:rsidRDefault="00525B4A" w:rsidP="00F86EC9">
            <w:pPr>
              <w:pStyle w:val="Default"/>
              <w:jc w:val="right"/>
            </w:pPr>
            <w:r w:rsidRPr="009B7854">
              <w:t>2.680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3D31409" w14:textId="77777777" w:rsidR="00525B4A" w:rsidRPr="009B7854" w:rsidRDefault="00525B4A" w:rsidP="00F86EC9">
            <w:pPr>
              <w:pStyle w:val="Default"/>
              <w:jc w:val="right"/>
            </w:pPr>
            <w:r w:rsidRPr="009B7854">
              <w:t>6.098</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3B475B0" w14:textId="77777777" w:rsidR="00525B4A" w:rsidRPr="009B7854" w:rsidRDefault="00525B4A" w:rsidP="00F86EC9">
            <w:pPr>
              <w:pStyle w:val="Default"/>
              <w:jc w:val="right"/>
            </w:pPr>
            <w:r w:rsidRPr="009B7854">
              <w:t>7.466</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D13A14E" w14:textId="77777777" w:rsidR="00525B4A" w:rsidRPr="009B7854" w:rsidRDefault="00525B4A" w:rsidP="00F86EC9">
            <w:pPr>
              <w:pStyle w:val="Default"/>
              <w:jc w:val="right"/>
            </w:pPr>
            <w:r w:rsidRPr="009B7854">
              <w:t>7.346</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51FE1F0" w14:textId="77777777" w:rsidR="00525B4A" w:rsidRPr="009B7854" w:rsidRDefault="00525B4A" w:rsidP="00F86EC9">
            <w:pPr>
              <w:pStyle w:val="Default"/>
              <w:jc w:val="right"/>
            </w:pPr>
            <w:r w:rsidRPr="009B7854">
              <w:t>7.323</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32B7B4B" w14:textId="77777777" w:rsidR="00525B4A" w:rsidRPr="009B7854" w:rsidRDefault="00525B4A" w:rsidP="00F86EC9">
            <w:pPr>
              <w:pStyle w:val="Default"/>
              <w:jc w:val="right"/>
            </w:pPr>
            <w:r w:rsidRPr="009B7854">
              <w:t>6.163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625D48B" w14:textId="77777777" w:rsidR="00525B4A" w:rsidRPr="009B7854" w:rsidRDefault="00525B4A" w:rsidP="00F86EC9">
            <w:pPr>
              <w:pStyle w:val="Default"/>
              <w:jc w:val="right"/>
            </w:pPr>
            <w:r w:rsidRPr="009B7854">
              <w:t>5.289</w:t>
            </w:r>
          </w:p>
        </w:tc>
      </w:tr>
      <w:tr w:rsidR="00525B4A" w:rsidRPr="009B7854" w14:paraId="08872688"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83B270C" w14:textId="77777777" w:rsidR="00525B4A" w:rsidRPr="009B7854" w:rsidRDefault="00525B4A" w:rsidP="00F86EC9">
            <w:pPr>
              <w:pStyle w:val="Default"/>
            </w:pPr>
            <w:r w:rsidRPr="009B7854">
              <w:t>Other, including TPG/TPECG, H&amp;SC levy and new school start-up costs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055C12A" w14:textId="77777777" w:rsidR="00525B4A" w:rsidRPr="009B7854" w:rsidRDefault="00525B4A" w:rsidP="00F86EC9">
            <w:pPr>
              <w:pStyle w:val="Default"/>
              <w:jc w:val="right"/>
            </w:pPr>
            <w:r w:rsidRPr="009B7854">
              <w:t>2.641</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4E03EE1" w14:textId="77777777" w:rsidR="00525B4A" w:rsidRPr="009B7854" w:rsidRDefault="00525B4A" w:rsidP="00F86EC9">
            <w:pPr>
              <w:pStyle w:val="Default"/>
              <w:jc w:val="right"/>
            </w:pPr>
            <w:r w:rsidRPr="009B7854">
              <w:t>2.519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9D8F050" w14:textId="77777777" w:rsidR="00525B4A" w:rsidRPr="009B7854" w:rsidRDefault="00525B4A" w:rsidP="00F86EC9">
            <w:pPr>
              <w:pStyle w:val="Default"/>
              <w:jc w:val="right"/>
            </w:pPr>
            <w:r w:rsidRPr="009B7854">
              <w:t>2.591</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12881E35" w14:textId="77777777" w:rsidR="00525B4A" w:rsidRPr="009B7854" w:rsidRDefault="00525B4A" w:rsidP="00F86EC9">
            <w:pPr>
              <w:pStyle w:val="Default"/>
              <w:jc w:val="right"/>
            </w:pPr>
            <w:r w:rsidRPr="009B7854">
              <w:t>2.655</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AFB9586" w14:textId="77777777" w:rsidR="00525B4A" w:rsidRPr="009B7854" w:rsidRDefault="00525B4A" w:rsidP="00F86EC9">
            <w:pPr>
              <w:pStyle w:val="Default"/>
              <w:jc w:val="right"/>
            </w:pPr>
            <w:r w:rsidRPr="009B7854">
              <w:t>2.734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0A3E6FB" w14:textId="77777777" w:rsidR="00525B4A" w:rsidRPr="009B7854" w:rsidRDefault="00525B4A" w:rsidP="00F86EC9">
            <w:pPr>
              <w:pStyle w:val="Default"/>
              <w:jc w:val="right"/>
            </w:pPr>
            <w:r w:rsidRPr="009B7854">
              <w:t>2.804</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AE118F4" w14:textId="77777777" w:rsidR="00525B4A" w:rsidRPr="009B7854" w:rsidRDefault="00525B4A" w:rsidP="00F86EC9">
            <w:pPr>
              <w:pStyle w:val="Default"/>
              <w:jc w:val="right"/>
            </w:pPr>
            <w:r w:rsidRPr="009B7854">
              <w:t>2.856</w:t>
            </w:r>
          </w:p>
        </w:tc>
      </w:tr>
      <w:tr w:rsidR="00525B4A" w:rsidRPr="009B7854" w14:paraId="57ACE5DE"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3DDD35F" w14:textId="77777777" w:rsidR="00525B4A" w:rsidRPr="009B7854" w:rsidRDefault="00525B4A" w:rsidP="00F86EC9">
            <w:pPr>
              <w:pStyle w:val="Default"/>
            </w:pPr>
            <w:r w:rsidRPr="009B7854">
              <w:t>Investment contingency including Inclusion Fund</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002C48C" w14:textId="77777777" w:rsidR="00525B4A" w:rsidRPr="009B7854" w:rsidRDefault="00525B4A" w:rsidP="00F86EC9">
            <w:pPr>
              <w:pStyle w:val="Default"/>
              <w:jc w:val="right"/>
            </w:pPr>
            <w:r w:rsidRPr="009B7854">
              <w:t>0.000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53AEAF3" w14:textId="77777777" w:rsidR="00525B4A" w:rsidRPr="009B7854" w:rsidRDefault="00525B4A" w:rsidP="00F86EC9">
            <w:pPr>
              <w:pStyle w:val="Default"/>
              <w:jc w:val="right"/>
            </w:pPr>
            <w:r w:rsidRPr="009B7854">
              <w:t>1.030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054600A" w14:textId="77777777" w:rsidR="00525B4A" w:rsidRPr="009B7854" w:rsidRDefault="00525B4A" w:rsidP="00F86EC9">
            <w:pPr>
              <w:pStyle w:val="Default"/>
              <w:jc w:val="right"/>
            </w:pPr>
            <w:r w:rsidRPr="009B7854">
              <w:t>1.000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6FF551E5" w14:textId="77777777" w:rsidR="00525B4A" w:rsidRPr="009B7854" w:rsidRDefault="00525B4A" w:rsidP="00F86EC9">
            <w:pPr>
              <w:pStyle w:val="Default"/>
              <w:jc w:val="right"/>
            </w:pPr>
            <w:r w:rsidRPr="009B7854">
              <w:t>0.500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153BE8B" w14:textId="77777777" w:rsidR="00525B4A" w:rsidRPr="009B7854" w:rsidRDefault="00525B4A" w:rsidP="00F86EC9">
            <w:pPr>
              <w:pStyle w:val="Default"/>
              <w:jc w:val="right"/>
            </w:pPr>
            <w:r w:rsidRPr="009B7854">
              <w:t>0.000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4C1BA2D" w14:textId="77777777" w:rsidR="00525B4A" w:rsidRPr="009B7854" w:rsidRDefault="00525B4A" w:rsidP="00F86EC9">
            <w:pPr>
              <w:pStyle w:val="Default"/>
              <w:jc w:val="right"/>
            </w:pPr>
            <w:r w:rsidRPr="009B7854">
              <w:t>0.000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7104ED4" w14:textId="77777777" w:rsidR="00525B4A" w:rsidRPr="009B7854" w:rsidRDefault="00525B4A" w:rsidP="00F86EC9">
            <w:pPr>
              <w:pStyle w:val="Default"/>
              <w:jc w:val="right"/>
            </w:pPr>
            <w:r w:rsidRPr="009B7854">
              <w:t>0.000</w:t>
            </w:r>
          </w:p>
        </w:tc>
      </w:tr>
      <w:tr w:rsidR="00525B4A" w:rsidRPr="009B7854" w14:paraId="17E52C88"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EFB6119" w14:textId="77777777" w:rsidR="00525B4A" w:rsidRPr="009B7854" w:rsidRDefault="00525B4A" w:rsidP="00F86EC9">
            <w:pPr>
              <w:pStyle w:val="Default"/>
              <w:rPr>
                <w:color w:val="FFFFFF" w:themeColor="background1"/>
              </w:rPr>
            </w:pPr>
            <w:r w:rsidRPr="009B7854">
              <w:rPr>
                <w:b/>
                <w:bCs/>
                <w:color w:val="FFFFFF" w:themeColor="background1"/>
              </w:rPr>
              <w:t>Total Expenditure</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CC8C1B1" w14:textId="77777777" w:rsidR="00525B4A" w:rsidRPr="009B7854" w:rsidRDefault="00525B4A" w:rsidP="00F86EC9">
            <w:pPr>
              <w:pStyle w:val="Default"/>
              <w:jc w:val="right"/>
              <w:rPr>
                <w:b/>
                <w:bCs/>
                <w:color w:val="FFFFFF" w:themeColor="background1"/>
              </w:rPr>
            </w:pPr>
            <w:r w:rsidRPr="009B7854">
              <w:rPr>
                <w:b/>
                <w:bCs/>
                <w:color w:val="FFFFFF"/>
              </w:rPr>
              <w:t>148.744</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CBB7353" w14:textId="77777777" w:rsidR="00525B4A" w:rsidRPr="009B7854" w:rsidRDefault="00525B4A" w:rsidP="00F86EC9">
            <w:pPr>
              <w:pStyle w:val="Default"/>
              <w:jc w:val="right"/>
              <w:rPr>
                <w:b/>
                <w:bCs/>
                <w:color w:val="FFFFFF" w:themeColor="background1"/>
              </w:rPr>
            </w:pPr>
            <w:r w:rsidRPr="009B7854">
              <w:rPr>
                <w:b/>
                <w:bCs/>
                <w:color w:val="FFFFFF"/>
              </w:rPr>
              <w:t>169.376</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E4410B1" w14:textId="77777777" w:rsidR="00525B4A" w:rsidRPr="009B7854" w:rsidRDefault="00525B4A" w:rsidP="00F86EC9">
            <w:pPr>
              <w:pStyle w:val="Default"/>
              <w:jc w:val="right"/>
              <w:rPr>
                <w:b/>
                <w:bCs/>
                <w:color w:val="FFFFFF" w:themeColor="background1"/>
              </w:rPr>
            </w:pPr>
            <w:r w:rsidRPr="009B7854">
              <w:rPr>
                <w:b/>
                <w:bCs/>
                <w:color w:val="FFFFFF"/>
              </w:rPr>
              <w:t>171.112</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4413277" w14:textId="77777777" w:rsidR="00525B4A" w:rsidRPr="009B7854" w:rsidRDefault="00525B4A" w:rsidP="00F86EC9">
            <w:pPr>
              <w:pStyle w:val="Default"/>
              <w:jc w:val="right"/>
              <w:rPr>
                <w:b/>
                <w:bCs/>
                <w:color w:val="FFFFFF" w:themeColor="background1"/>
              </w:rPr>
            </w:pPr>
            <w:r w:rsidRPr="009B7854">
              <w:rPr>
                <w:b/>
                <w:bCs/>
                <w:color w:val="FFFFFF"/>
              </w:rPr>
              <w:t>165.479</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5439C2BD" w14:textId="77777777" w:rsidR="00525B4A" w:rsidRPr="009B7854" w:rsidRDefault="00525B4A" w:rsidP="00F86EC9">
            <w:pPr>
              <w:pStyle w:val="Default"/>
              <w:jc w:val="right"/>
              <w:rPr>
                <w:b/>
                <w:bCs/>
                <w:color w:val="FFFFFF" w:themeColor="background1"/>
              </w:rPr>
            </w:pPr>
            <w:r w:rsidRPr="009B7854">
              <w:rPr>
                <w:b/>
                <w:bCs/>
                <w:color w:val="FFFFFF"/>
              </w:rPr>
              <w:t>158.549</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46F0BFC0" w14:textId="77777777" w:rsidR="00525B4A" w:rsidRPr="009B7854" w:rsidRDefault="00525B4A" w:rsidP="00F86EC9">
            <w:pPr>
              <w:pStyle w:val="Default"/>
              <w:jc w:val="right"/>
              <w:rPr>
                <w:b/>
                <w:bCs/>
                <w:color w:val="FFFFFF" w:themeColor="background1"/>
              </w:rPr>
            </w:pPr>
            <w:r w:rsidRPr="009B7854">
              <w:rPr>
                <w:b/>
                <w:bCs/>
                <w:color w:val="FFFFFF"/>
              </w:rPr>
              <w:t>151.303</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CF90297" w14:textId="77777777" w:rsidR="00525B4A" w:rsidRPr="009B7854" w:rsidRDefault="00525B4A" w:rsidP="00F86EC9">
            <w:pPr>
              <w:pStyle w:val="Default"/>
              <w:jc w:val="right"/>
              <w:rPr>
                <w:b/>
                <w:bCs/>
                <w:color w:val="FFFFFF" w:themeColor="background1"/>
              </w:rPr>
            </w:pPr>
            <w:r w:rsidRPr="009B7854">
              <w:rPr>
                <w:b/>
                <w:bCs/>
                <w:color w:val="FFFFFF"/>
              </w:rPr>
              <w:t>151.125</w:t>
            </w:r>
          </w:p>
        </w:tc>
      </w:tr>
      <w:tr w:rsidR="00525B4A" w:rsidRPr="009B7854" w14:paraId="16E2AFEC"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4DEA106F" w14:textId="77777777" w:rsidR="00525B4A" w:rsidRPr="009B7854" w:rsidRDefault="00525B4A" w:rsidP="00F86EC9">
            <w:pPr>
              <w:pStyle w:val="Default"/>
            </w:pPr>
            <w:r w:rsidRPr="009B7854">
              <w:rPr>
                <w:b/>
                <w:bCs/>
              </w:rPr>
              <w:t>In-year +deficit/-surplus</w:t>
            </w:r>
          </w:p>
        </w:tc>
        <w:tc>
          <w:tcPr>
            <w:tcW w:w="1226"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85408D" w14:textId="77777777" w:rsidR="00525B4A" w:rsidRPr="009B7854" w:rsidRDefault="00525B4A" w:rsidP="00F86EC9">
            <w:pPr>
              <w:pStyle w:val="Default"/>
              <w:jc w:val="right"/>
            </w:pPr>
            <w:r w:rsidRPr="009B7854">
              <w:rPr>
                <w:b/>
                <w:bCs/>
              </w:rPr>
              <w:t>19.637</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3E0A2CFA" w14:textId="77777777" w:rsidR="00525B4A" w:rsidRPr="009B7854" w:rsidRDefault="00525B4A" w:rsidP="00F86EC9">
            <w:pPr>
              <w:pStyle w:val="Default"/>
              <w:jc w:val="right"/>
            </w:pPr>
            <w:r w:rsidRPr="009B7854">
              <w:rPr>
                <w:b/>
                <w:bCs/>
              </w:rPr>
              <w:t>25.149</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276C3ECD" w14:textId="77777777" w:rsidR="00525B4A" w:rsidRPr="009B7854" w:rsidRDefault="00525B4A" w:rsidP="00F86EC9">
            <w:pPr>
              <w:pStyle w:val="Default"/>
              <w:jc w:val="right"/>
            </w:pPr>
            <w:r w:rsidRPr="009B7854">
              <w:rPr>
                <w:b/>
                <w:bCs/>
              </w:rPr>
              <w:t>20.433</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EB1F8FD" w14:textId="77777777" w:rsidR="00525B4A" w:rsidRPr="009B7854" w:rsidRDefault="00525B4A" w:rsidP="00F86EC9">
            <w:pPr>
              <w:pStyle w:val="Default"/>
              <w:jc w:val="right"/>
            </w:pPr>
            <w:r w:rsidRPr="009B7854">
              <w:rPr>
                <w:b/>
                <w:bCs/>
              </w:rPr>
              <w:t>10.924</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0CA9FCCC" w14:textId="77777777" w:rsidR="00525B4A" w:rsidRPr="009B7854" w:rsidRDefault="00525B4A" w:rsidP="00F86EC9">
            <w:pPr>
              <w:pStyle w:val="Default"/>
              <w:jc w:val="right"/>
            </w:pPr>
            <w:r w:rsidRPr="009B7854">
              <w:rPr>
                <w:b/>
                <w:bCs/>
              </w:rPr>
              <w:t>0.300</w:t>
            </w:r>
          </w:p>
        </w:tc>
        <w:tc>
          <w:tcPr>
            <w:tcW w:w="1227"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7053CD63" w14:textId="77777777" w:rsidR="00525B4A" w:rsidRPr="009B7854" w:rsidRDefault="00525B4A" w:rsidP="00F86EC9">
            <w:pPr>
              <w:pStyle w:val="Default"/>
              <w:jc w:val="right"/>
            </w:pPr>
            <w:r w:rsidRPr="009B7854">
              <w:rPr>
                <w:b/>
                <w:bCs/>
              </w:rPr>
              <w:t>-11.320</w:t>
            </w:r>
          </w:p>
        </w:tc>
        <w:tc>
          <w:tcPr>
            <w:tcW w:w="1228" w:type="dxa"/>
            <w:tcBorders>
              <w:top w:val="dotted" w:sz="2" w:space="0" w:color="000000"/>
              <w:left w:val="dotted" w:sz="2" w:space="0" w:color="000000"/>
              <w:bottom w:val="dotted" w:sz="2" w:space="0" w:color="000000"/>
              <w:right w:val="dotted" w:sz="2" w:space="0" w:color="000000"/>
            </w:tcBorders>
            <w:shd w:val="clear" w:color="auto" w:fill="auto"/>
            <w:tcMar>
              <w:top w:w="15" w:type="dxa"/>
              <w:left w:w="15" w:type="dxa"/>
              <w:bottom w:w="0" w:type="dxa"/>
              <w:right w:w="15" w:type="dxa"/>
            </w:tcMar>
            <w:vAlign w:val="center"/>
            <w:hideMark/>
          </w:tcPr>
          <w:p w14:paraId="59FB4068" w14:textId="77777777" w:rsidR="00525B4A" w:rsidRPr="009B7854" w:rsidRDefault="00525B4A" w:rsidP="00F86EC9">
            <w:pPr>
              <w:pStyle w:val="Default"/>
              <w:jc w:val="right"/>
            </w:pPr>
            <w:r w:rsidRPr="009B7854">
              <w:rPr>
                <w:b/>
                <w:bCs/>
              </w:rPr>
              <w:t>-16.675</w:t>
            </w:r>
          </w:p>
        </w:tc>
      </w:tr>
      <w:tr w:rsidR="00525B4A" w:rsidRPr="009B7854" w14:paraId="2C98AF37" w14:textId="77777777" w:rsidTr="00F86EC9">
        <w:trPr>
          <w:trHeight w:val="425"/>
          <w:tblCellSpacing w:w="11" w:type="dxa"/>
        </w:trPr>
        <w:tc>
          <w:tcPr>
            <w:tcW w:w="694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1183B7EB" w14:textId="77777777" w:rsidR="00525B4A" w:rsidRPr="009B7854" w:rsidRDefault="00525B4A" w:rsidP="00F86EC9">
            <w:pPr>
              <w:pStyle w:val="Default"/>
              <w:rPr>
                <w:color w:val="FFFFFF" w:themeColor="background1"/>
              </w:rPr>
            </w:pPr>
            <w:r w:rsidRPr="009B7854">
              <w:rPr>
                <w:b/>
                <w:bCs/>
                <w:color w:val="FFFFFF" w:themeColor="background1"/>
              </w:rPr>
              <w:t>Cumulative Balance without contribution</w:t>
            </w:r>
          </w:p>
        </w:tc>
        <w:tc>
          <w:tcPr>
            <w:tcW w:w="1226"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05337B48" w14:textId="77777777" w:rsidR="00525B4A" w:rsidRPr="009B7854" w:rsidRDefault="00525B4A" w:rsidP="00F86EC9">
            <w:pPr>
              <w:pStyle w:val="Default"/>
              <w:jc w:val="right"/>
              <w:rPr>
                <w:b/>
                <w:bCs/>
                <w:color w:val="FFFFFF" w:themeColor="background1"/>
              </w:rPr>
            </w:pPr>
            <w:r w:rsidRPr="009B7854">
              <w:rPr>
                <w:b/>
                <w:bCs/>
                <w:color w:val="FFFFFF"/>
              </w:rPr>
              <w:t>73.613</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30D2285" w14:textId="77777777" w:rsidR="00525B4A" w:rsidRPr="009B7854" w:rsidRDefault="00525B4A" w:rsidP="00F86EC9">
            <w:pPr>
              <w:pStyle w:val="Default"/>
              <w:jc w:val="right"/>
              <w:rPr>
                <w:b/>
                <w:bCs/>
                <w:color w:val="FFFFFF" w:themeColor="background1"/>
              </w:rPr>
            </w:pPr>
            <w:r w:rsidRPr="009B7854">
              <w:rPr>
                <w:b/>
                <w:bCs/>
                <w:color w:val="FFFFFF"/>
              </w:rPr>
              <w:t>98.762</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49F205FB" w14:textId="77777777" w:rsidR="00525B4A" w:rsidRPr="009B7854" w:rsidRDefault="00525B4A" w:rsidP="00F86EC9">
            <w:pPr>
              <w:pStyle w:val="Default"/>
              <w:jc w:val="right"/>
              <w:rPr>
                <w:b/>
                <w:bCs/>
                <w:color w:val="FFFFFF" w:themeColor="background1"/>
              </w:rPr>
            </w:pPr>
            <w:r w:rsidRPr="009B7854">
              <w:rPr>
                <w:b/>
                <w:bCs/>
                <w:color w:val="FFFFFF"/>
              </w:rPr>
              <w:t>119.194</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64DC5AD4" w14:textId="77777777" w:rsidR="00525B4A" w:rsidRPr="009B7854" w:rsidRDefault="00525B4A" w:rsidP="00F86EC9">
            <w:pPr>
              <w:pStyle w:val="Default"/>
              <w:jc w:val="right"/>
              <w:rPr>
                <w:b/>
                <w:bCs/>
                <w:color w:val="FFFFFF" w:themeColor="background1"/>
              </w:rPr>
            </w:pPr>
            <w:r w:rsidRPr="009B7854">
              <w:rPr>
                <w:b/>
                <w:bCs/>
                <w:color w:val="FFFFFF"/>
              </w:rPr>
              <w:t>130.118</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74955F63" w14:textId="77777777" w:rsidR="00525B4A" w:rsidRPr="009B7854" w:rsidRDefault="00525B4A" w:rsidP="00F86EC9">
            <w:pPr>
              <w:pStyle w:val="Default"/>
              <w:jc w:val="right"/>
              <w:rPr>
                <w:b/>
                <w:bCs/>
                <w:color w:val="FFFFFF" w:themeColor="background1"/>
              </w:rPr>
            </w:pPr>
            <w:r w:rsidRPr="009B7854">
              <w:rPr>
                <w:b/>
                <w:bCs/>
                <w:color w:val="FFFFFF"/>
              </w:rPr>
              <w:t>130.418</w:t>
            </w:r>
          </w:p>
        </w:tc>
        <w:tc>
          <w:tcPr>
            <w:tcW w:w="1227"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21795A25" w14:textId="77777777" w:rsidR="00525B4A" w:rsidRPr="009B7854" w:rsidRDefault="00525B4A" w:rsidP="00F86EC9">
            <w:pPr>
              <w:pStyle w:val="Default"/>
              <w:jc w:val="right"/>
              <w:rPr>
                <w:b/>
                <w:bCs/>
                <w:color w:val="FFFFFF" w:themeColor="background1"/>
              </w:rPr>
            </w:pPr>
            <w:r w:rsidRPr="009B7854">
              <w:rPr>
                <w:b/>
                <w:bCs/>
                <w:color w:val="FFFFFF"/>
              </w:rPr>
              <w:t>119.098</w:t>
            </w:r>
          </w:p>
        </w:tc>
        <w:tc>
          <w:tcPr>
            <w:tcW w:w="1228" w:type="dxa"/>
            <w:tcBorders>
              <w:top w:val="dotted" w:sz="2" w:space="0" w:color="000000"/>
              <w:left w:val="dotted" w:sz="2" w:space="0" w:color="000000"/>
              <w:bottom w:val="dotted" w:sz="2" w:space="0" w:color="000000"/>
              <w:right w:val="dotted" w:sz="2" w:space="0" w:color="000000"/>
            </w:tcBorders>
            <w:shd w:val="clear" w:color="auto" w:fill="000000" w:themeFill="text1"/>
            <w:tcMar>
              <w:top w:w="15" w:type="dxa"/>
              <w:left w:w="15" w:type="dxa"/>
              <w:bottom w:w="0" w:type="dxa"/>
              <w:right w:w="15" w:type="dxa"/>
            </w:tcMar>
            <w:vAlign w:val="center"/>
            <w:hideMark/>
          </w:tcPr>
          <w:p w14:paraId="4783F69D" w14:textId="77777777" w:rsidR="00525B4A" w:rsidRPr="009B7854" w:rsidRDefault="00525B4A" w:rsidP="00F86EC9">
            <w:pPr>
              <w:pStyle w:val="Default"/>
              <w:jc w:val="right"/>
              <w:rPr>
                <w:b/>
                <w:bCs/>
                <w:color w:val="FFFFFF" w:themeColor="background1"/>
              </w:rPr>
            </w:pPr>
            <w:r w:rsidRPr="009B7854">
              <w:rPr>
                <w:b/>
                <w:bCs/>
                <w:color w:val="FFFFFF"/>
              </w:rPr>
              <w:t>102.423</w:t>
            </w:r>
          </w:p>
        </w:tc>
      </w:tr>
    </w:tbl>
    <w:p w14:paraId="4559B1D2" w14:textId="1F0BCA58" w:rsidR="00594714" w:rsidRPr="00071F6A" w:rsidRDefault="00594714" w:rsidP="00071F6A">
      <w:pPr>
        <w:spacing w:after="120"/>
        <w:rPr>
          <w:rFonts w:ascii="Arial" w:hAnsi="Arial" w:cs="Arial"/>
        </w:rPr>
      </w:pPr>
      <w:r w:rsidRPr="00071F6A">
        <w:rPr>
          <w:rFonts w:ascii="Arial" w:hAnsi="Arial" w:cs="Arial"/>
        </w:rPr>
        <w:lastRenderedPageBreak/>
        <w:t>The table below provides a breakdown of the placement numbers forecast in the financial model by type, including estimations of the number of children and young people who would be supported in mainstream provision with either an EHCP or high needs funded SEN support. This shows that whilst there is a small, overall increase in the number of children and young people supported by the high needs block, there is a significant shift in how and where needs will be met</w:t>
      </w:r>
      <w:r w:rsidR="00E911DB">
        <w:rPr>
          <w:rFonts w:ascii="Arial" w:hAnsi="Arial" w:cs="Arial"/>
        </w:rPr>
        <w:t>.</w:t>
      </w:r>
    </w:p>
    <w:p w14:paraId="4DED9A82" w14:textId="77777777" w:rsidR="00E911DB" w:rsidRDefault="00E911DB" w:rsidP="00071F6A">
      <w:pPr>
        <w:spacing w:after="120"/>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4"/>
        <w:gridCol w:w="1350"/>
        <w:gridCol w:w="1350"/>
        <w:gridCol w:w="1350"/>
        <w:gridCol w:w="1350"/>
        <w:gridCol w:w="1350"/>
        <w:gridCol w:w="1350"/>
        <w:gridCol w:w="1350"/>
      </w:tblGrid>
      <w:tr w:rsidR="00E911DB" w:rsidRPr="00E911DB" w14:paraId="0B14DAED"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7F581536"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b/>
                <w:bCs/>
                <w:color w:val="FFFFFF"/>
                <w:lang w:eastAsia="en-GB"/>
              </w:rPr>
              <w:t>Placements Numbers by type:</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7132AD0E"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2022-23</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4025D66A"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2023-24</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069F82BE"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2024/25</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30676B85"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2025/26</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0A94A583"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2026/27</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039E3E0D"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2027/28</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68BF39AF" w14:textId="77777777" w:rsidR="00E911DB" w:rsidRPr="00E911DB" w:rsidRDefault="00E911DB" w:rsidP="00E911DB">
            <w:pPr>
              <w:jc w:val="center"/>
              <w:textAlignment w:val="baseline"/>
              <w:rPr>
                <w:rFonts w:ascii="Segoe UI" w:hAnsi="Segoe UI" w:cs="Segoe UI"/>
                <w:color w:val="000000"/>
                <w:sz w:val="18"/>
                <w:szCs w:val="18"/>
                <w:lang w:eastAsia="en-GB"/>
              </w:rPr>
            </w:pPr>
            <w:r w:rsidRPr="00E911DB">
              <w:rPr>
                <w:rFonts w:ascii="Arial" w:hAnsi="Arial" w:cs="Arial"/>
                <w:b/>
                <w:bCs/>
                <w:color w:val="FFFFFF"/>
                <w:lang w:eastAsia="en-GB"/>
              </w:rPr>
              <w:t>2028/29</w:t>
            </w:r>
            <w:r w:rsidRPr="00E911DB">
              <w:rPr>
                <w:rFonts w:ascii="Arial" w:hAnsi="Arial" w:cs="Arial"/>
                <w:color w:val="FFFFFF"/>
                <w:lang w:eastAsia="en-GB"/>
              </w:rPr>
              <w:t> </w:t>
            </w:r>
          </w:p>
        </w:tc>
      </w:tr>
      <w:tr w:rsidR="00E911DB" w:rsidRPr="00E911DB" w14:paraId="0D6649BC" w14:textId="77777777" w:rsidTr="00E911DB">
        <w:trPr>
          <w:trHeight w:val="34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1F5C3D"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Maintained / Academy / Free Special Schools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22551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2,049 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2757C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2,128 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5E5F6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2,188 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7DE50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2,233 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C820B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2,317 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9D2C1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2,347 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B1F73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2,369 </w:t>
            </w:r>
          </w:p>
        </w:tc>
      </w:tr>
      <w:tr w:rsidR="00E911DB" w:rsidRPr="00E911DB" w14:paraId="18D7574A"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766DF"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Independent Special Schools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A24DF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909 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66F4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946 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7A92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60CCA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599 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98F9B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344 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FC3E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FB757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108 </w:t>
            </w:r>
          </w:p>
        </w:tc>
      </w:tr>
      <w:tr w:rsidR="00E911DB" w:rsidRPr="00E911DB" w14:paraId="7E5B7E94"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3C76AB"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Add/Other Provisions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A14E3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205 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429ADA"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187 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3B753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170 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0D690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153 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83BA9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136 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9911E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0EB3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100 </w:t>
            </w:r>
          </w:p>
        </w:tc>
      </w:tr>
      <w:tr w:rsidR="00E911DB" w:rsidRPr="00E911DB" w14:paraId="7DE5831A"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13F46C"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Medical Needs/Hospital Provision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948210"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4E8DC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A30A8E"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D8A095"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955A6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A1F4D"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F867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20 </w:t>
            </w:r>
          </w:p>
        </w:tc>
      </w:tr>
      <w:tr w:rsidR="00E911DB" w:rsidRPr="00E911DB" w14:paraId="108FA06C"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3656B"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Personal Budgets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B6A62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109EF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83 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AFA5E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B600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85 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20150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4A77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29FB0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86 </w:t>
            </w:r>
          </w:p>
        </w:tc>
      </w:tr>
      <w:tr w:rsidR="00E911DB" w:rsidRPr="00E911DB" w14:paraId="709F2369"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0A0C26"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Section 19 Placements and Support^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1017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157 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2329F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139 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EF2B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122 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81BFC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105 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70DB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88 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5BF7B"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4FACA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52 </w:t>
            </w:r>
          </w:p>
        </w:tc>
      </w:tr>
      <w:tr w:rsidR="00E911DB" w:rsidRPr="00E911DB" w14:paraId="5BB8CDB4"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1E5B72"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Alternative Provision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6F84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EDFA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2613A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103 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CCEAA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52BB3E"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62AAA"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FA06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76 </w:t>
            </w:r>
          </w:p>
        </w:tc>
      </w:tr>
      <w:tr w:rsidR="00E911DB" w:rsidRPr="00E911DB" w14:paraId="6D0DBEF3"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86721"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Post-16 (Further Education)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5936AD"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764 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9374F3"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781 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A498B"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796 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44D5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712 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7AF0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629 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2E17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546 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022A5"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464 </w:t>
            </w:r>
          </w:p>
        </w:tc>
      </w:tr>
      <w:tr w:rsidR="00E911DB" w:rsidRPr="00E911DB" w14:paraId="0823A721" w14:textId="77777777" w:rsidTr="00E911DB">
        <w:trPr>
          <w:trHeight w:val="34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635428" w14:textId="77777777" w:rsidR="00E911DB" w:rsidRPr="00E911DB" w:rsidRDefault="00E911DB" w:rsidP="00E911DB">
            <w:pPr>
              <w:textAlignment w:val="baseline"/>
              <w:rPr>
                <w:rFonts w:ascii="Segoe UI" w:hAnsi="Segoe UI" w:cs="Segoe UI"/>
                <w:color w:val="000000"/>
                <w:sz w:val="18"/>
                <w:szCs w:val="18"/>
                <w:lang w:eastAsia="en-GB"/>
              </w:rPr>
            </w:pPr>
            <w:proofErr w:type="spellStart"/>
            <w:r w:rsidRPr="00E911DB">
              <w:rPr>
                <w:rFonts w:ascii="Arial" w:hAnsi="Arial" w:cs="Arial"/>
                <w:color w:val="000000"/>
                <w:lang w:val="fr-FR" w:eastAsia="en-GB"/>
              </w:rPr>
              <w:t>Specialist</w:t>
            </w:r>
            <w:proofErr w:type="spellEnd"/>
            <w:r w:rsidRPr="00E911DB">
              <w:rPr>
                <w:rFonts w:ascii="Arial" w:hAnsi="Arial" w:cs="Arial"/>
                <w:color w:val="000000"/>
                <w:lang w:val="fr-FR" w:eastAsia="en-GB"/>
              </w:rPr>
              <w:t xml:space="preserve"> Resource Bases &amp; </w:t>
            </w:r>
            <w:proofErr w:type="spellStart"/>
            <w:r w:rsidRPr="00E911DB">
              <w:rPr>
                <w:rFonts w:ascii="Arial" w:hAnsi="Arial" w:cs="Arial"/>
                <w:color w:val="000000"/>
                <w:lang w:val="fr-FR" w:eastAsia="en-GB"/>
              </w:rPr>
              <w:t>Deaf</w:t>
            </w:r>
            <w:proofErr w:type="spellEnd"/>
            <w:r w:rsidRPr="00E911DB">
              <w:rPr>
                <w:rFonts w:ascii="Arial" w:hAnsi="Arial" w:cs="Arial"/>
                <w:color w:val="000000"/>
                <w:lang w:val="fr-FR" w:eastAsia="en-GB"/>
              </w:rPr>
              <w:t xml:space="preserve"> Resource Bases</w:t>
            </w:r>
            <w:r w:rsidRPr="00E911DB">
              <w:rPr>
                <w:rFonts w:ascii="Arial" w:hAnsi="Arial" w:cs="Arial"/>
                <w:color w:val="000000"/>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A0615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420 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C231A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530 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F7833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717 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72EED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970 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41779D"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967CC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3DC7B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1,132 </w:t>
            </w:r>
          </w:p>
        </w:tc>
      </w:tr>
      <w:tr w:rsidR="00E911DB" w:rsidRPr="00E911DB" w14:paraId="06A46810"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CF42D3"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Short Stay Schools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438E70"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BC4D35"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AC10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FBC3B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8F463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4F7C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1902A"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432 </w:t>
            </w:r>
          </w:p>
        </w:tc>
      </w:tr>
      <w:tr w:rsidR="00E911DB" w:rsidRPr="00E911DB" w14:paraId="19751F52"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38E841"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Other Local Authority Recoupment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32F98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9B89E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94 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574C6"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83 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5DA951"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72 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57D0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61 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9CE35"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50 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38933B"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40 </w:t>
            </w:r>
          </w:p>
        </w:tc>
      </w:tr>
      <w:tr w:rsidR="00E911DB" w:rsidRPr="00E911DB" w14:paraId="22EBD39F" w14:textId="77777777" w:rsidTr="00E911DB">
        <w:trPr>
          <w:trHeight w:val="165"/>
        </w:trPr>
        <w:tc>
          <w:tcPr>
            <w:tcW w:w="580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3D3F3AF2"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b/>
                <w:bCs/>
                <w:color w:val="FFFFFF"/>
                <w:lang w:eastAsia="en-GB"/>
              </w:rPr>
              <w:t>Total Placement Numbers</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3DC52B8F"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5,308</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5024D80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5,450</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30805E88"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5,535</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47B7670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5,477</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61F7D599"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5,334</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7BCA43EB"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5,006</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199C7972"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4,879</w:t>
            </w:r>
            <w:r w:rsidRPr="00E911DB">
              <w:rPr>
                <w:rFonts w:ascii="Arial" w:hAnsi="Arial" w:cs="Arial"/>
                <w:color w:val="FFFFFF"/>
                <w:lang w:eastAsia="en-GB"/>
              </w:rPr>
              <w:t> </w:t>
            </w:r>
          </w:p>
        </w:tc>
      </w:tr>
      <w:tr w:rsidR="00E911DB" w:rsidRPr="00E911DB" w14:paraId="2AC30EF3" w14:textId="77777777" w:rsidTr="00E911DB">
        <w:trPr>
          <w:trHeight w:val="210"/>
        </w:trPr>
        <w:tc>
          <w:tcPr>
            <w:tcW w:w="58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223FFF"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color w:val="000000"/>
                <w:lang w:eastAsia="en-GB"/>
              </w:rPr>
              <w:t>Mainstream EHCP &amp; funded SEN support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FDED2E"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4,154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80EBDC"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4,330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E50ADA"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4,385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DDFBF3"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4,445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17804D"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4,496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A200CE"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4,562  </w:t>
            </w:r>
          </w:p>
        </w:tc>
        <w:tc>
          <w:tcPr>
            <w:tcW w:w="13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05E230"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color w:val="000000"/>
                <w:lang w:eastAsia="en-GB"/>
              </w:rPr>
              <w:t>       4,693  </w:t>
            </w:r>
          </w:p>
        </w:tc>
      </w:tr>
      <w:tr w:rsidR="00E911DB" w:rsidRPr="00E911DB" w14:paraId="0DFAAAAD" w14:textId="77777777" w:rsidTr="00E911DB">
        <w:trPr>
          <w:trHeight w:val="300"/>
        </w:trPr>
        <w:tc>
          <w:tcPr>
            <w:tcW w:w="580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18214D02" w14:textId="77777777" w:rsidR="00E911DB" w:rsidRPr="00E911DB" w:rsidRDefault="00E911DB" w:rsidP="00E911DB">
            <w:pPr>
              <w:textAlignment w:val="baseline"/>
              <w:rPr>
                <w:rFonts w:ascii="Segoe UI" w:hAnsi="Segoe UI" w:cs="Segoe UI"/>
                <w:color w:val="000000"/>
                <w:sz w:val="18"/>
                <w:szCs w:val="18"/>
                <w:lang w:eastAsia="en-GB"/>
              </w:rPr>
            </w:pPr>
            <w:r w:rsidRPr="00E911DB">
              <w:rPr>
                <w:rFonts w:ascii="Arial" w:hAnsi="Arial" w:cs="Arial"/>
                <w:b/>
                <w:bCs/>
                <w:color w:val="FFFFFF"/>
                <w:lang w:eastAsia="en-GB"/>
              </w:rPr>
              <w:t>Total</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5093F93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9,462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57CC1190"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9,780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4ACA9AB4"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9,920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599DB99D"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9,922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12E6AE27"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9,830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36B3DA25"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9,568 </w:t>
            </w:r>
            <w:r w:rsidRPr="00E911DB">
              <w:rPr>
                <w:rFonts w:ascii="Arial" w:hAnsi="Arial" w:cs="Arial"/>
                <w:color w:val="FFFFFF"/>
                <w:lang w:eastAsia="en-GB"/>
              </w:rPr>
              <w:t> </w:t>
            </w:r>
          </w:p>
        </w:tc>
        <w:tc>
          <w:tcPr>
            <w:tcW w:w="1395" w:type="dxa"/>
            <w:tcBorders>
              <w:top w:val="single" w:sz="6" w:space="0" w:color="000000"/>
              <w:left w:val="single" w:sz="6" w:space="0" w:color="000000"/>
              <w:bottom w:val="single" w:sz="6" w:space="0" w:color="000000"/>
              <w:right w:val="single" w:sz="6" w:space="0" w:color="000000"/>
            </w:tcBorders>
            <w:shd w:val="clear" w:color="auto" w:fill="000000"/>
            <w:vAlign w:val="center"/>
            <w:hideMark/>
          </w:tcPr>
          <w:p w14:paraId="2CC49E53" w14:textId="77777777" w:rsidR="00E911DB" w:rsidRPr="00E911DB" w:rsidRDefault="00E911DB" w:rsidP="00E911DB">
            <w:pPr>
              <w:jc w:val="right"/>
              <w:textAlignment w:val="baseline"/>
              <w:rPr>
                <w:rFonts w:ascii="Segoe UI" w:hAnsi="Segoe UI" w:cs="Segoe UI"/>
                <w:color w:val="000000"/>
                <w:sz w:val="18"/>
                <w:szCs w:val="18"/>
                <w:lang w:eastAsia="en-GB"/>
              </w:rPr>
            </w:pPr>
            <w:r w:rsidRPr="00E911DB">
              <w:rPr>
                <w:rFonts w:ascii="Arial" w:hAnsi="Arial" w:cs="Arial"/>
                <w:b/>
                <w:bCs/>
                <w:color w:val="FFFFFF"/>
                <w:lang w:eastAsia="en-GB"/>
              </w:rPr>
              <w:t>       9,572 </w:t>
            </w:r>
            <w:r w:rsidRPr="00E911DB">
              <w:rPr>
                <w:rFonts w:ascii="Arial" w:hAnsi="Arial" w:cs="Arial"/>
                <w:color w:val="FFFFFF"/>
                <w:lang w:eastAsia="en-GB"/>
              </w:rPr>
              <w:t> </w:t>
            </w:r>
          </w:p>
        </w:tc>
      </w:tr>
    </w:tbl>
    <w:p w14:paraId="62220F7E" w14:textId="77777777" w:rsidR="00446A71" w:rsidRDefault="00446A71" w:rsidP="00071F6A">
      <w:pPr>
        <w:spacing w:after="120"/>
        <w:rPr>
          <w:rFonts w:ascii="Arial" w:hAnsi="Arial" w:cs="Arial"/>
        </w:rPr>
      </w:pPr>
    </w:p>
    <w:p w14:paraId="0F9CBEEF" w14:textId="77777777" w:rsidR="00446A71" w:rsidRPr="00071F6A" w:rsidRDefault="00446A71" w:rsidP="00071F6A">
      <w:pPr>
        <w:spacing w:after="120"/>
        <w:rPr>
          <w:rFonts w:ascii="Arial" w:hAnsi="Arial" w:cs="Arial"/>
        </w:rPr>
      </w:pPr>
    </w:p>
    <w:p w14:paraId="7125439B" w14:textId="5E870D18" w:rsidR="006C38E7" w:rsidRPr="00F869FA" w:rsidRDefault="006C38E7" w:rsidP="00AB5EDF">
      <w:pPr>
        <w:pStyle w:val="ListParagraph"/>
        <w:ind w:left="0"/>
        <w:rPr>
          <w:rFonts w:ascii="Arial" w:hAnsi="Arial" w:cs="Arial"/>
          <w:b/>
          <w:bCs/>
          <w:sz w:val="28"/>
          <w:szCs w:val="28"/>
          <w:highlight w:val="yellow"/>
        </w:rPr>
      </w:pPr>
    </w:p>
    <w:p w14:paraId="2E895F37" w14:textId="77777777" w:rsidR="00071F6A" w:rsidRPr="00E05F95" w:rsidRDefault="00071F6A" w:rsidP="00071F6A">
      <w:pPr>
        <w:rPr>
          <w:rFonts w:ascii="Arial" w:hAnsi="Arial" w:cs="Arial"/>
          <w:b/>
          <w:color w:val="1F4E79" w:themeColor="accent5" w:themeShade="80"/>
          <w:szCs w:val="20"/>
        </w:rPr>
      </w:pPr>
      <w:r w:rsidRPr="00E05F95">
        <w:rPr>
          <w:rFonts w:ascii="Arial" w:hAnsi="Arial" w:cs="Arial"/>
          <w:b/>
          <w:color w:val="1F4E79" w:themeColor="accent5" w:themeShade="80"/>
          <w:szCs w:val="20"/>
        </w:rPr>
        <w:t xml:space="preserve">Schools Forum is asked to:  </w:t>
      </w:r>
    </w:p>
    <w:p w14:paraId="67167B1F" w14:textId="77777777" w:rsidR="00071F6A" w:rsidRPr="00E05F95" w:rsidRDefault="00071F6A" w:rsidP="00071F6A">
      <w:pPr>
        <w:rPr>
          <w:rFonts w:ascii="Arial" w:hAnsi="Arial" w:cs="Arial"/>
          <w:b/>
          <w:color w:val="1F4E79" w:themeColor="accent5" w:themeShade="80"/>
          <w:szCs w:val="20"/>
        </w:rPr>
      </w:pPr>
    </w:p>
    <w:p w14:paraId="647E52AA" w14:textId="77777777" w:rsidR="00071F6A" w:rsidRPr="00E05F95" w:rsidRDefault="00071F6A" w:rsidP="00071F6A">
      <w:pPr>
        <w:pStyle w:val="ListParagraph"/>
        <w:rPr>
          <w:rFonts w:ascii="Arial" w:hAnsi="Arial" w:cs="Arial"/>
          <w:b/>
          <w:color w:val="1F4E79" w:themeColor="accent5" w:themeShade="80"/>
          <w:sz w:val="28"/>
          <w:szCs w:val="28"/>
        </w:rPr>
      </w:pPr>
      <w:r w:rsidRPr="00E05F95">
        <w:rPr>
          <w:rFonts w:ascii="Arial" w:hAnsi="Arial" w:cs="Arial"/>
          <w:b/>
          <w:color w:val="1F4E79" w:themeColor="accent5" w:themeShade="80"/>
          <w:szCs w:val="20"/>
        </w:rPr>
        <w:t>Note the latest updates to Norfolk’s DSG Management Plan.</w:t>
      </w:r>
    </w:p>
    <w:p w14:paraId="316BCDDC" w14:textId="35E6E56F" w:rsidR="004E4A52" w:rsidRPr="00071F6A" w:rsidRDefault="006C38E7" w:rsidP="004E4A52">
      <w:pPr>
        <w:spacing w:after="160" w:line="259" w:lineRule="auto"/>
        <w:rPr>
          <w:rFonts w:ascii="Arial" w:hAnsi="Arial" w:cs="Arial"/>
          <w:b/>
          <w:bCs/>
          <w:sz w:val="28"/>
          <w:szCs w:val="28"/>
          <w:highlight w:val="yellow"/>
        </w:rPr>
        <w:sectPr w:rsidR="004E4A52" w:rsidRPr="00071F6A" w:rsidSect="007D42A4">
          <w:pgSz w:w="16838" w:h="11906" w:orient="landscape"/>
          <w:pgMar w:top="1440" w:right="1304" w:bottom="1440" w:left="1304" w:header="709" w:footer="709" w:gutter="0"/>
          <w:cols w:space="708"/>
          <w:docGrid w:linePitch="360"/>
        </w:sectPr>
      </w:pPr>
      <w:r w:rsidRPr="00F869FA">
        <w:rPr>
          <w:rFonts w:ascii="Arial" w:hAnsi="Arial" w:cs="Arial"/>
          <w:b/>
          <w:bCs/>
          <w:sz w:val="28"/>
          <w:szCs w:val="28"/>
          <w:highlight w:val="yellow"/>
        </w:rPr>
        <w:br w:type="page"/>
      </w:r>
    </w:p>
    <w:p w14:paraId="0DCAA3A0" w14:textId="7D03A2AA" w:rsidR="00AD4BE9" w:rsidRPr="00CD74C3" w:rsidRDefault="002950CD" w:rsidP="00BC6865">
      <w:pPr>
        <w:pStyle w:val="Heading2"/>
      </w:pPr>
      <w:r w:rsidRPr="00CD74C3">
        <w:lastRenderedPageBreak/>
        <w:t>Schools Block</w:t>
      </w:r>
    </w:p>
    <w:p w14:paraId="62791768" w14:textId="54DD2EE6" w:rsidR="002950CD" w:rsidRPr="00CD74C3" w:rsidRDefault="002950CD" w:rsidP="002950CD">
      <w:pPr>
        <w:pStyle w:val="ListParagraph"/>
        <w:rPr>
          <w:rFonts w:ascii="Arial" w:hAnsi="Arial" w:cs="Arial"/>
          <w:b/>
          <w:sz w:val="28"/>
          <w:szCs w:val="28"/>
        </w:rPr>
      </w:pPr>
    </w:p>
    <w:p w14:paraId="213360C0" w14:textId="55E98D5E" w:rsidR="00637010" w:rsidRPr="00F869FA" w:rsidRDefault="00637010" w:rsidP="00637010">
      <w:pPr>
        <w:rPr>
          <w:rFonts w:ascii="Arial" w:hAnsi="Arial" w:cs="Arial"/>
          <w:highlight w:val="yellow"/>
        </w:rPr>
      </w:pPr>
      <w:r w:rsidRPr="00451158">
        <w:rPr>
          <w:rFonts w:ascii="Arial" w:hAnsi="Arial" w:cs="Arial"/>
        </w:rPr>
        <w:t xml:space="preserve">The Schools Block allocation for </w:t>
      </w:r>
      <w:r w:rsidR="00A43941" w:rsidRPr="00451158">
        <w:rPr>
          <w:rFonts w:ascii="Arial" w:hAnsi="Arial" w:cs="Arial"/>
        </w:rPr>
        <w:t>2023-24</w:t>
      </w:r>
      <w:r w:rsidRPr="00451158">
        <w:rPr>
          <w:rFonts w:ascii="Arial" w:hAnsi="Arial" w:cs="Arial"/>
        </w:rPr>
        <w:t xml:space="preserve"> is £</w:t>
      </w:r>
      <w:r w:rsidR="00451158" w:rsidRPr="00451158">
        <w:rPr>
          <w:rFonts w:ascii="Arial" w:hAnsi="Arial" w:cs="Arial"/>
        </w:rPr>
        <w:t>601.033</w:t>
      </w:r>
      <w:r w:rsidRPr="00451158">
        <w:rPr>
          <w:rFonts w:ascii="Arial" w:hAnsi="Arial" w:cs="Arial"/>
        </w:rPr>
        <w:t xml:space="preserve">m; </w:t>
      </w:r>
      <w:r w:rsidRPr="00CD74C3">
        <w:rPr>
          <w:rFonts w:ascii="Arial" w:hAnsi="Arial" w:cs="Arial"/>
        </w:rPr>
        <w:t xml:space="preserve">an increase </w:t>
      </w:r>
      <w:r w:rsidRPr="005706C8">
        <w:rPr>
          <w:rFonts w:ascii="Arial" w:hAnsi="Arial" w:cs="Arial"/>
        </w:rPr>
        <w:t>of £</w:t>
      </w:r>
      <w:r w:rsidR="005706C8" w:rsidRPr="005706C8">
        <w:rPr>
          <w:rFonts w:ascii="Arial" w:hAnsi="Arial" w:cs="Arial"/>
        </w:rPr>
        <w:t>32.402</w:t>
      </w:r>
      <w:r w:rsidRPr="005706C8">
        <w:rPr>
          <w:rFonts w:ascii="Arial" w:hAnsi="Arial" w:cs="Arial"/>
        </w:rPr>
        <w:t xml:space="preserve">m from the </w:t>
      </w:r>
      <w:r w:rsidRPr="00451158">
        <w:rPr>
          <w:rFonts w:ascii="Arial" w:hAnsi="Arial" w:cs="Arial"/>
        </w:rPr>
        <w:t>£5</w:t>
      </w:r>
      <w:r w:rsidR="00451158" w:rsidRPr="00451158">
        <w:rPr>
          <w:rFonts w:ascii="Arial" w:hAnsi="Arial" w:cs="Arial"/>
        </w:rPr>
        <w:t>68.631</w:t>
      </w:r>
      <w:r w:rsidRPr="00451158">
        <w:rPr>
          <w:rFonts w:ascii="Arial" w:hAnsi="Arial" w:cs="Arial"/>
        </w:rPr>
        <w:t>m received</w:t>
      </w:r>
      <w:r w:rsidRPr="00CD74C3">
        <w:rPr>
          <w:rFonts w:ascii="Arial" w:hAnsi="Arial" w:cs="Arial"/>
        </w:rPr>
        <w:t xml:space="preserve"> in </w:t>
      </w:r>
      <w:r w:rsidR="00A4319F">
        <w:rPr>
          <w:rFonts w:ascii="Arial" w:hAnsi="Arial" w:cs="Arial"/>
        </w:rPr>
        <w:t>2022-23</w:t>
      </w:r>
      <w:r w:rsidRPr="00CD74C3">
        <w:rPr>
          <w:rFonts w:ascii="Arial" w:hAnsi="Arial" w:cs="Arial"/>
        </w:rPr>
        <w:t>.</w:t>
      </w:r>
      <w:r w:rsidR="00E911DB">
        <w:rPr>
          <w:rFonts w:ascii="Arial" w:hAnsi="Arial" w:cs="Arial"/>
        </w:rPr>
        <w:t xml:space="preserve">  This increase includes £16.818m of School Supplementary Grant that has been rolled into the DSG in 2023-24.</w:t>
      </w:r>
    </w:p>
    <w:p w14:paraId="4B136D3B" w14:textId="77777777" w:rsidR="00637010" w:rsidRPr="00F869FA" w:rsidRDefault="00637010" w:rsidP="00637010">
      <w:pPr>
        <w:rPr>
          <w:rFonts w:ascii="Arial" w:hAnsi="Arial" w:cs="Arial"/>
          <w:highlight w:val="yellow"/>
        </w:rPr>
      </w:pPr>
    </w:p>
    <w:p w14:paraId="43525536" w14:textId="392059F9" w:rsidR="00637010" w:rsidRPr="006C6859" w:rsidRDefault="00637010" w:rsidP="00637010">
      <w:pPr>
        <w:rPr>
          <w:rFonts w:ascii="Arial" w:hAnsi="Arial" w:cs="Arial"/>
        </w:rPr>
      </w:pPr>
      <w:r w:rsidRPr="006C6859">
        <w:rPr>
          <w:rFonts w:ascii="Arial" w:hAnsi="Arial" w:cs="Arial"/>
        </w:rPr>
        <w:t xml:space="preserve">The Schools Block will be allocated to mainstream schools and academies in </w:t>
      </w:r>
      <w:r w:rsidR="00A43941">
        <w:rPr>
          <w:rFonts w:ascii="Arial" w:hAnsi="Arial" w:cs="Arial"/>
        </w:rPr>
        <w:t>2023-24</w:t>
      </w:r>
      <w:r w:rsidRPr="006C6859">
        <w:rPr>
          <w:rFonts w:ascii="Arial" w:hAnsi="Arial" w:cs="Arial"/>
        </w:rPr>
        <w:t>, after deductions for an agreed growth fund and any agreed transfers to High Needs Block, mirroring National Funding Formula factor values and methodologies as closely as possible subject to a final calibration of the formula to funds available (as set out in the autumn 202</w:t>
      </w:r>
      <w:r w:rsidR="006C6859" w:rsidRPr="006C6859">
        <w:rPr>
          <w:rFonts w:ascii="Arial" w:hAnsi="Arial" w:cs="Arial"/>
        </w:rPr>
        <w:t>2</w:t>
      </w:r>
      <w:r w:rsidRPr="006C6859">
        <w:rPr>
          <w:rFonts w:ascii="Arial" w:hAnsi="Arial" w:cs="Arial"/>
        </w:rPr>
        <w:t xml:space="preserve"> consultation).</w:t>
      </w:r>
    </w:p>
    <w:p w14:paraId="489BDE38" w14:textId="77777777" w:rsidR="00637010" w:rsidRPr="00F869FA" w:rsidRDefault="00637010" w:rsidP="00637010">
      <w:pPr>
        <w:rPr>
          <w:rFonts w:ascii="Arial" w:hAnsi="Arial" w:cs="Arial"/>
          <w:highlight w:val="yellow"/>
        </w:rPr>
      </w:pPr>
    </w:p>
    <w:p w14:paraId="1EA8EFE0" w14:textId="6B290304" w:rsidR="00637010" w:rsidRPr="00F869FA" w:rsidRDefault="00637010" w:rsidP="00637010">
      <w:pPr>
        <w:rPr>
          <w:rFonts w:ascii="Arial" w:hAnsi="Arial" w:cs="Arial"/>
          <w:highlight w:val="yellow"/>
        </w:rPr>
      </w:pPr>
      <w:r w:rsidRPr="006C6859">
        <w:rPr>
          <w:rFonts w:ascii="Arial" w:hAnsi="Arial" w:cs="Arial"/>
        </w:rPr>
        <w:t>Schools Forum agreed at the November 202</w:t>
      </w:r>
      <w:r w:rsidR="006C6859" w:rsidRPr="006C6859">
        <w:rPr>
          <w:rFonts w:ascii="Arial" w:hAnsi="Arial" w:cs="Arial"/>
        </w:rPr>
        <w:t>2</w:t>
      </w:r>
      <w:r w:rsidRPr="006C6859">
        <w:rPr>
          <w:rFonts w:ascii="Arial" w:hAnsi="Arial" w:cs="Arial"/>
        </w:rPr>
        <w:t xml:space="preserve"> meeting:</w:t>
      </w:r>
    </w:p>
    <w:p w14:paraId="52071C92" w14:textId="77777777" w:rsidR="00637010" w:rsidRPr="008858F5" w:rsidRDefault="00637010" w:rsidP="00637010">
      <w:pPr>
        <w:rPr>
          <w:rFonts w:ascii="Arial" w:hAnsi="Arial" w:cs="Arial"/>
        </w:rPr>
      </w:pPr>
    </w:p>
    <w:p w14:paraId="75DFEFB7" w14:textId="284737C8" w:rsidR="00637010" w:rsidRPr="008858F5" w:rsidRDefault="00637010" w:rsidP="00637010">
      <w:pPr>
        <w:pStyle w:val="ListParagraph"/>
        <w:numPr>
          <w:ilvl w:val="0"/>
          <w:numId w:val="18"/>
        </w:numPr>
        <w:rPr>
          <w:rFonts w:ascii="Arial" w:hAnsi="Arial" w:cs="Arial"/>
        </w:rPr>
      </w:pPr>
      <w:r w:rsidRPr="008858F5">
        <w:rPr>
          <w:rFonts w:ascii="Arial" w:hAnsi="Arial" w:cs="Arial"/>
        </w:rPr>
        <w:t>A top slice of £0.</w:t>
      </w:r>
      <w:r w:rsidR="008858F5" w:rsidRPr="008858F5">
        <w:rPr>
          <w:rFonts w:ascii="Arial" w:hAnsi="Arial" w:cs="Arial"/>
        </w:rPr>
        <w:t>711</w:t>
      </w:r>
      <w:r w:rsidRPr="008858F5">
        <w:rPr>
          <w:rFonts w:ascii="Arial" w:hAnsi="Arial" w:cs="Arial"/>
        </w:rPr>
        <w:t>m Schools Block funding for a growth fund for maintained schools and academies;</w:t>
      </w:r>
    </w:p>
    <w:p w14:paraId="0CB9485A" w14:textId="663D7BC5" w:rsidR="008858F5" w:rsidRPr="008858F5" w:rsidRDefault="008858F5" w:rsidP="00637010">
      <w:pPr>
        <w:pStyle w:val="ListParagraph"/>
        <w:numPr>
          <w:ilvl w:val="0"/>
          <w:numId w:val="18"/>
        </w:numPr>
        <w:rPr>
          <w:rFonts w:ascii="Arial" w:hAnsi="Arial" w:cs="Arial"/>
        </w:rPr>
      </w:pPr>
      <w:r w:rsidRPr="008858F5">
        <w:rPr>
          <w:rFonts w:ascii="Arial" w:hAnsi="Arial" w:cs="Arial"/>
        </w:rPr>
        <w:t>An additional top slice of £0.390m as part of the growth fund to be allocated to new schools for pre-opening costs</w:t>
      </w:r>
      <w:r w:rsidR="009160CC">
        <w:rPr>
          <w:rFonts w:ascii="Arial" w:hAnsi="Arial" w:cs="Arial"/>
        </w:rPr>
        <w:t>;</w:t>
      </w:r>
    </w:p>
    <w:p w14:paraId="2AFC4827" w14:textId="177805EE" w:rsidR="00637010" w:rsidRPr="006C6859" w:rsidRDefault="00637010" w:rsidP="00637010">
      <w:pPr>
        <w:pStyle w:val="ListParagraph"/>
        <w:numPr>
          <w:ilvl w:val="0"/>
          <w:numId w:val="18"/>
        </w:numPr>
        <w:rPr>
          <w:rFonts w:ascii="Arial" w:hAnsi="Arial" w:cs="Arial"/>
        </w:rPr>
      </w:pPr>
      <w:r w:rsidRPr="006C6859">
        <w:rPr>
          <w:rFonts w:ascii="Arial" w:hAnsi="Arial" w:cs="Arial"/>
        </w:rPr>
        <w:t xml:space="preserve">A transfer of 0.5% </w:t>
      </w:r>
      <w:r w:rsidRPr="00192C94">
        <w:rPr>
          <w:rFonts w:ascii="Arial" w:hAnsi="Arial" w:cs="Arial"/>
        </w:rPr>
        <w:t>(£</w:t>
      </w:r>
      <w:r w:rsidR="00192C94" w:rsidRPr="00192C94">
        <w:rPr>
          <w:rFonts w:ascii="Arial" w:hAnsi="Arial" w:cs="Arial"/>
        </w:rPr>
        <w:t>3.005</w:t>
      </w:r>
      <w:r w:rsidRPr="00192C94">
        <w:rPr>
          <w:rFonts w:ascii="Arial" w:hAnsi="Arial" w:cs="Arial"/>
        </w:rPr>
        <w:t xml:space="preserve">m </w:t>
      </w:r>
      <w:r w:rsidRPr="006C6859">
        <w:rPr>
          <w:rFonts w:ascii="Arial" w:hAnsi="Arial" w:cs="Arial"/>
        </w:rPr>
        <w:t>based on final Schools Block allocation) from Schools Block to High Needs Block to support pressures within the High Needs Block and to support recovery of the DSG deficit.</w:t>
      </w:r>
    </w:p>
    <w:p w14:paraId="2B68BFA2" w14:textId="77777777" w:rsidR="00637010" w:rsidRPr="00F869FA" w:rsidRDefault="00637010" w:rsidP="00637010">
      <w:pPr>
        <w:pStyle w:val="ListParagraph"/>
        <w:rPr>
          <w:rFonts w:ascii="Arial" w:hAnsi="Arial" w:cs="Arial"/>
          <w:highlight w:val="yellow"/>
        </w:rPr>
      </w:pPr>
    </w:p>
    <w:p w14:paraId="6C8C7DEB" w14:textId="0BCB8EB2" w:rsidR="00637010" w:rsidRPr="006325E2" w:rsidRDefault="00637010" w:rsidP="00637010">
      <w:pPr>
        <w:rPr>
          <w:rFonts w:ascii="Arial" w:hAnsi="Arial" w:cs="Arial"/>
          <w:color w:val="0B0C0C"/>
          <w:shd w:val="clear" w:color="auto" w:fill="FFFFFF"/>
        </w:rPr>
      </w:pPr>
      <w:r w:rsidRPr="006325E2">
        <w:rPr>
          <w:rFonts w:ascii="Arial" w:hAnsi="Arial" w:cs="Arial"/>
          <w:color w:val="0B0C0C"/>
          <w:shd w:val="clear" w:color="auto" w:fill="FFFFFF"/>
        </w:rPr>
        <w:t>In addition to the 0.5% transfer agreed by Schools Forum in November 202</w:t>
      </w:r>
      <w:r w:rsidR="006325E2" w:rsidRPr="006325E2">
        <w:rPr>
          <w:rFonts w:ascii="Arial" w:hAnsi="Arial" w:cs="Arial"/>
          <w:color w:val="0B0C0C"/>
          <w:shd w:val="clear" w:color="auto" w:fill="FFFFFF"/>
        </w:rPr>
        <w:t>2</w:t>
      </w:r>
      <w:r w:rsidRPr="006325E2">
        <w:rPr>
          <w:rFonts w:ascii="Arial" w:hAnsi="Arial" w:cs="Arial"/>
          <w:color w:val="0B0C0C"/>
          <w:shd w:val="clear" w:color="auto" w:fill="FFFFFF"/>
        </w:rPr>
        <w:t xml:space="preserve">, a further transfer of an </w:t>
      </w:r>
      <w:r w:rsidRPr="00192C94">
        <w:rPr>
          <w:rFonts w:ascii="Arial" w:hAnsi="Arial" w:cs="Arial"/>
          <w:color w:val="0B0C0C"/>
          <w:shd w:val="clear" w:color="auto" w:fill="FFFFFF"/>
        </w:rPr>
        <w:t>additional 1% (£</w:t>
      </w:r>
      <w:r w:rsidR="00192C94" w:rsidRPr="00192C94">
        <w:rPr>
          <w:rFonts w:ascii="Arial" w:hAnsi="Arial" w:cs="Arial"/>
          <w:color w:val="0B0C0C"/>
          <w:shd w:val="clear" w:color="auto" w:fill="FFFFFF"/>
        </w:rPr>
        <w:t>6.010</w:t>
      </w:r>
      <w:r w:rsidRPr="00192C94">
        <w:rPr>
          <w:rFonts w:ascii="Arial" w:hAnsi="Arial" w:cs="Arial"/>
          <w:color w:val="0B0C0C"/>
          <w:shd w:val="clear" w:color="auto" w:fill="FFFFFF"/>
        </w:rPr>
        <w:t>m)</w:t>
      </w:r>
      <w:r w:rsidRPr="006325E2">
        <w:rPr>
          <w:rFonts w:ascii="Arial" w:hAnsi="Arial" w:cs="Arial"/>
          <w:color w:val="0B0C0C"/>
          <w:shd w:val="clear" w:color="auto" w:fill="FFFFFF"/>
        </w:rPr>
        <w:t xml:space="preserve"> to High Needs Block has been requested by the LA in a disapplication request to the Secretary of State and a response is awaited.</w:t>
      </w:r>
    </w:p>
    <w:p w14:paraId="64C798EE" w14:textId="77777777" w:rsidR="00637010" w:rsidRPr="006325E2" w:rsidRDefault="00637010" w:rsidP="00637010">
      <w:pPr>
        <w:rPr>
          <w:rFonts w:ascii="Arial" w:hAnsi="Arial" w:cs="Arial"/>
          <w:color w:val="0B0C0C"/>
          <w:shd w:val="clear" w:color="auto" w:fill="FFFFFF"/>
        </w:rPr>
      </w:pPr>
    </w:p>
    <w:p w14:paraId="5842C657" w14:textId="2013477F" w:rsidR="00637010" w:rsidRPr="006325E2" w:rsidRDefault="00637010" w:rsidP="00637010">
      <w:pPr>
        <w:rPr>
          <w:rFonts w:ascii="Arial" w:hAnsi="Arial" w:cs="Arial"/>
          <w:color w:val="0B0C0C"/>
          <w:shd w:val="clear" w:color="auto" w:fill="FFFFFF"/>
        </w:rPr>
      </w:pPr>
      <w:r w:rsidRPr="006325E2">
        <w:rPr>
          <w:rFonts w:ascii="Arial" w:hAnsi="Arial" w:cs="Arial"/>
          <w:color w:val="0B0C0C"/>
          <w:shd w:val="clear" w:color="auto" w:fill="FFFFFF"/>
        </w:rPr>
        <w:t xml:space="preserve">The total allocation to mainstream schools’ and academies’ budget shares will be </w:t>
      </w:r>
      <w:r w:rsidRPr="00E20297">
        <w:rPr>
          <w:rFonts w:ascii="Arial" w:hAnsi="Arial" w:cs="Arial"/>
          <w:color w:val="0B0C0C"/>
          <w:shd w:val="clear" w:color="auto" w:fill="FFFFFF"/>
        </w:rPr>
        <w:t>£5</w:t>
      </w:r>
      <w:r w:rsidR="00987718" w:rsidRPr="00E20297">
        <w:rPr>
          <w:rFonts w:ascii="Arial" w:hAnsi="Arial" w:cs="Arial"/>
          <w:color w:val="0B0C0C"/>
          <w:shd w:val="clear" w:color="auto" w:fill="FFFFFF"/>
        </w:rPr>
        <w:t>96,926,961</w:t>
      </w:r>
      <w:r w:rsidRPr="00E20297">
        <w:rPr>
          <w:rFonts w:ascii="Arial" w:hAnsi="Arial" w:cs="Arial"/>
          <w:color w:val="0B0C0C"/>
          <w:shd w:val="clear" w:color="auto" w:fill="FFFFFF"/>
        </w:rPr>
        <w:t xml:space="preserve"> (including National Non-Domestic Rates) if the disapplication request is refused, or £5</w:t>
      </w:r>
      <w:r w:rsidR="002D1D3D" w:rsidRPr="00E20297">
        <w:rPr>
          <w:rFonts w:ascii="Arial" w:hAnsi="Arial" w:cs="Arial"/>
          <w:color w:val="0B0C0C"/>
          <w:shd w:val="clear" w:color="auto" w:fill="FFFFFF"/>
        </w:rPr>
        <w:t>90,916,630</w:t>
      </w:r>
      <w:r w:rsidRPr="00E20297">
        <w:rPr>
          <w:rFonts w:ascii="Arial" w:hAnsi="Arial" w:cs="Arial"/>
          <w:color w:val="0B0C0C"/>
          <w:shd w:val="clear" w:color="auto" w:fill="FFFFFF"/>
        </w:rPr>
        <w:t xml:space="preserve"> if the disapplication is approved.</w:t>
      </w:r>
      <w:r w:rsidRPr="006325E2">
        <w:rPr>
          <w:rFonts w:ascii="Arial" w:hAnsi="Arial" w:cs="Arial"/>
          <w:color w:val="0B0C0C"/>
          <w:shd w:val="clear" w:color="auto" w:fill="FFFFFF"/>
        </w:rPr>
        <w:t xml:space="preserve">  In addition, the agreed </w:t>
      </w:r>
      <w:r w:rsidRPr="00735C1D">
        <w:rPr>
          <w:rFonts w:ascii="Arial" w:hAnsi="Arial" w:cs="Arial"/>
          <w:color w:val="0B0C0C"/>
          <w:shd w:val="clear" w:color="auto" w:fill="FFFFFF"/>
        </w:rPr>
        <w:t>£</w:t>
      </w:r>
      <w:r w:rsidR="00A36C62" w:rsidRPr="00735C1D">
        <w:rPr>
          <w:rFonts w:ascii="Arial" w:hAnsi="Arial" w:cs="Arial"/>
          <w:color w:val="0B0C0C"/>
          <w:shd w:val="clear" w:color="auto" w:fill="FFFFFF"/>
        </w:rPr>
        <w:t>1.101</w:t>
      </w:r>
      <w:r w:rsidRPr="00735C1D">
        <w:rPr>
          <w:rFonts w:ascii="Arial" w:hAnsi="Arial" w:cs="Arial"/>
          <w:color w:val="0B0C0C"/>
          <w:shd w:val="clear" w:color="auto" w:fill="FFFFFF"/>
        </w:rPr>
        <w:t xml:space="preserve">m </w:t>
      </w:r>
      <w:r w:rsidRPr="006325E2">
        <w:rPr>
          <w:rFonts w:ascii="Arial" w:hAnsi="Arial" w:cs="Arial"/>
          <w:color w:val="0B0C0C"/>
          <w:shd w:val="clear" w:color="auto" w:fill="FFFFFF"/>
        </w:rPr>
        <w:t>growth fund will be allocated in-year based on the growth fund criteria agreed by Schools Forum in November 202</w:t>
      </w:r>
      <w:r w:rsidR="006325E2">
        <w:rPr>
          <w:rFonts w:ascii="Arial" w:hAnsi="Arial" w:cs="Arial"/>
          <w:color w:val="0B0C0C"/>
          <w:shd w:val="clear" w:color="auto" w:fill="FFFFFF"/>
        </w:rPr>
        <w:t>2</w:t>
      </w:r>
      <w:r w:rsidR="00A36C62">
        <w:rPr>
          <w:rFonts w:ascii="Arial" w:hAnsi="Arial" w:cs="Arial"/>
          <w:color w:val="0B0C0C"/>
          <w:shd w:val="clear" w:color="auto" w:fill="FFFFFF"/>
        </w:rPr>
        <w:t xml:space="preserve"> (£0.711m for in-year growth and £0.390m for the pre-opening costs of new schools)</w:t>
      </w:r>
      <w:r w:rsidRPr="006325E2">
        <w:rPr>
          <w:rFonts w:ascii="Arial" w:hAnsi="Arial" w:cs="Arial"/>
          <w:color w:val="0B0C0C"/>
          <w:shd w:val="clear" w:color="auto" w:fill="FFFFFF"/>
        </w:rPr>
        <w:t>.</w:t>
      </w:r>
    </w:p>
    <w:p w14:paraId="14BFD651" w14:textId="77777777" w:rsidR="00637010" w:rsidRPr="00F869FA" w:rsidRDefault="00637010" w:rsidP="00637010">
      <w:pPr>
        <w:rPr>
          <w:rFonts w:ascii="Arial" w:hAnsi="Arial" w:cs="Arial"/>
          <w:color w:val="0B0C0C"/>
          <w:highlight w:val="yellow"/>
          <w:shd w:val="clear" w:color="auto" w:fill="FFFFFF"/>
        </w:rPr>
      </w:pPr>
    </w:p>
    <w:p w14:paraId="1E8DABAF" w14:textId="0A46F71D" w:rsidR="00637010" w:rsidRPr="005C1FAF" w:rsidRDefault="00637010" w:rsidP="00637010">
      <w:pPr>
        <w:rPr>
          <w:rFonts w:ascii="Arial" w:hAnsi="Arial" w:cs="Arial"/>
          <w:color w:val="0B0C0C"/>
          <w:shd w:val="clear" w:color="auto" w:fill="FFFFFF"/>
        </w:rPr>
      </w:pPr>
      <w:r w:rsidRPr="005C1FAF">
        <w:rPr>
          <w:rFonts w:ascii="Arial" w:hAnsi="Arial" w:cs="Arial"/>
          <w:color w:val="0B0C0C"/>
          <w:shd w:val="clear" w:color="auto" w:fill="FFFFFF"/>
        </w:rPr>
        <w:t>In addition to the Schools Block DSG allocation, Norfolk’</w:t>
      </w:r>
      <w:r w:rsidR="005C1FAF" w:rsidRPr="005C1FAF">
        <w:rPr>
          <w:rFonts w:ascii="Arial" w:hAnsi="Arial" w:cs="Arial"/>
          <w:color w:val="0B0C0C"/>
          <w:shd w:val="clear" w:color="auto" w:fill="FFFFFF"/>
        </w:rPr>
        <w:t xml:space="preserve">s mainstream schools </w:t>
      </w:r>
      <w:r w:rsidR="001800B8">
        <w:rPr>
          <w:rFonts w:ascii="Arial" w:hAnsi="Arial" w:cs="Arial"/>
          <w:color w:val="0B0C0C"/>
          <w:shd w:val="clear" w:color="auto" w:fill="FFFFFF"/>
        </w:rPr>
        <w:t xml:space="preserve">and academies </w:t>
      </w:r>
      <w:r w:rsidR="005C1FAF" w:rsidRPr="005C1FAF">
        <w:rPr>
          <w:rFonts w:ascii="Arial" w:hAnsi="Arial" w:cs="Arial"/>
          <w:color w:val="0B0C0C"/>
          <w:shd w:val="clear" w:color="auto" w:fill="FFFFFF"/>
        </w:rPr>
        <w:t>will receive Mainstream School</w:t>
      </w:r>
      <w:r w:rsidR="001800B8">
        <w:rPr>
          <w:rFonts w:ascii="Arial" w:hAnsi="Arial" w:cs="Arial"/>
          <w:color w:val="0B0C0C"/>
          <w:shd w:val="clear" w:color="auto" w:fill="FFFFFF"/>
        </w:rPr>
        <w:t>s</w:t>
      </w:r>
      <w:r w:rsidR="005C1FAF" w:rsidRPr="005C1FAF">
        <w:rPr>
          <w:rFonts w:ascii="Arial" w:hAnsi="Arial" w:cs="Arial"/>
          <w:color w:val="0B0C0C"/>
          <w:shd w:val="clear" w:color="auto" w:fill="FFFFFF"/>
        </w:rPr>
        <w:t xml:space="preserve"> Additional</w:t>
      </w:r>
      <w:r w:rsidRPr="005C1FAF">
        <w:rPr>
          <w:rFonts w:ascii="Arial" w:hAnsi="Arial" w:cs="Arial"/>
          <w:color w:val="0B0C0C"/>
          <w:shd w:val="clear" w:color="auto" w:fill="FFFFFF"/>
        </w:rPr>
        <w:t xml:space="preserve"> Grant </w:t>
      </w:r>
      <w:r w:rsidR="005C1FAF" w:rsidRPr="005C1FAF">
        <w:rPr>
          <w:rFonts w:ascii="Arial" w:hAnsi="Arial" w:cs="Arial"/>
          <w:color w:val="0B0C0C"/>
          <w:shd w:val="clear" w:color="auto" w:fill="FFFFFF"/>
        </w:rPr>
        <w:t>of</w:t>
      </w:r>
      <w:r w:rsidRPr="005C1FAF">
        <w:rPr>
          <w:rFonts w:ascii="Arial" w:hAnsi="Arial" w:cs="Arial"/>
          <w:color w:val="0B0C0C"/>
          <w:shd w:val="clear" w:color="auto" w:fill="FFFFFF"/>
        </w:rPr>
        <w:t xml:space="preserve"> £</w:t>
      </w:r>
      <w:r w:rsidR="005C1FAF" w:rsidRPr="005C1FAF">
        <w:rPr>
          <w:rFonts w:ascii="Arial" w:hAnsi="Arial" w:cs="Arial"/>
          <w:color w:val="0B0C0C"/>
          <w:shd w:val="clear" w:color="auto" w:fill="FFFFFF"/>
        </w:rPr>
        <w:t>20.5</w:t>
      </w:r>
      <w:r w:rsidRPr="005C1FAF">
        <w:rPr>
          <w:rFonts w:ascii="Arial" w:hAnsi="Arial" w:cs="Arial"/>
          <w:color w:val="0B0C0C"/>
          <w:shd w:val="clear" w:color="auto" w:fill="FFFFFF"/>
        </w:rPr>
        <w:t xml:space="preserve">m which will be allocated to mainstream schools and academies in </w:t>
      </w:r>
      <w:r w:rsidR="00A4319F" w:rsidRPr="005C1FAF">
        <w:rPr>
          <w:rFonts w:ascii="Arial" w:hAnsi="Arial" w:cs="Arial"/>
          <w:color w:val="0B0C0C"/>
          <w:shd w:val="clear" w:color="auto" w:fill="FFFFFF"/>
        </w:rPr>
        <w:t>202</w:t>
      </w:r>
      <w:r w:rsidR="005C1FAF" w:rsidRPr="005C1FAF">
        <w:rPr>
          <w:rFonts w:ascii="Arial" w:hAnsi="Arial" w:cs="Arial"/>
          <w:color w:val="0B0C0C"/>
          <w:shd w:val="clear" w:color="auto" w:fill="FFFFFF"/>
        </w:rPr>
        <w:t>3</w:t>
      </w:r>
      <w:r w:rsidR="00A4319F" w:rsidRPr="005C1FAF">
        <w:rPr>
          <w:rFonts w:ascii="Arial" w:hAnsi="Arial" w:cs="Arial"/>
          <w:color w:val="0B0C0C"/>
          <w:shd w:val="clear" w:color="auto" w:fill="FFFFFF"/>
        </w:rPr>
        <w:t>-2</w:t>
      </w:r>
      <w:r w:rsidR="005C1FAF" w:rsidRPr="005C1FAF">
        <w:rPr>
          <w:rFonts w:ascii="Arial" w:hAnsi="Arial" w:cs="Arial"/>
          <w:color w:val="0B0C0C"/>
          <w:shd w:val="clear" w:color="auto" w:fill="FFFFFF"/>
        </w:rPr>
        <w:t>4</w:t>
      </w:r>
      <w:r w:rsidRPr="005C1FAF">
        <w:rPr>
          <w:rFonts w:ascii="Arial" w:hAnsi="Arial" w:cs="Arial"/>
          <w:color w:val="0B0C0C"/>
          <w:shd w:val="clear" w:color="auto" w:fill="FFFFFF"/>
        </w:rPr>
        <w:t xml:space="preserve"> based on school-level allocations provided by the DfE in spring 202</w:t>
      </w:r>
      <w:r w:rsidR="005C1FAF" w:rsidRPr="005C1FAF">
        <w:rPr>
          <w:rFonts w:ascii="Arial" w:hAnsi="Arial" w:cs="Arial"/>
          <w:color w:val="0B0C0C"/>
          <w:shd w:val="clear" w:color="auto" w:fill="FFFFFF"/>
        </w:rPr>
        <w:t>3</w:t>
      </w:r>
      <w:r w:rsidRPr="005C1FAF">
        <w:rPr>
          <w:rFonts w:ascii="Arial" w:hAnsi="Arial" w:cs="Arial"/>
          <w:color w:val="0B0C0C"/>
          <w:shd w:val="clear" w:color="auto" w:fill="FFFFFF"/>
        </w:rPr>
        <w:t>.</w:t>
      </w:r>
    </w:p>
    <w:p w14:paraId="3C000C46" w14:textId="77777777" w:rsidR="00637010" w:rsidRPr="00F869FA" w:rsidRDefault="00637010" w:rsidP="00637010">
      <w:pPr>
        <w:rPr>
          <w:rFonts w:ascii="Arial" w:hAnsi="Arial" w:cs="Arial"/>
          <w:color w:val="0B0C0C"/>
          <w:highlight w:val="yellow"/>
          <w:shd w:val="clear" w:color="auto" w:fill="FFFFFF"/>
        </w:rPr>
      </w:pPr>
    </w:p>
    <w:p w14:paraId="68E3C001" w14:textId="5445DA92" w:rsidR="00637010" w:rsidRPr="003237A1" w:rsidRDefault="00637010" w:rsidP="00637010">
      <w:pPr>
        <w:rPr>
          <w:rFonts w:ascii="Arial" w:hAnsi="Arial" w:cs="Arial"/>
          <w:color w:val="0B0C0C"/>
          <w:shd w:val="clear" w:color="auto" w:fill="FFFFFF"/>
        </w:rPr>
      </w:pPr>
      <w:r w:rsidRPr="003237A1">
        <w:rPr>
          <w:rFonts w:ascii="Arial" w:hAnsi="Arial" w:cs="Arial"/>
          <w:color w:val="0B0C0C"/>
          <w:shd w:val="clear" w:color="auto" w:fill="FFFFFF"/>
        </w:rPr>
        <w:t xml:space="preserve">Further details of </w:t>
      </w:r>
      <w:r w:rsidR="003237A1">
        <w:rPr>
          <w:rFonts w:ascii="Arial" w:hAnsi="Arial" w:cs="Arial"/>
          <w:color w:val="0B0C0C"/>
          <w:shd w:val="clear" w:color="auto" w:fill="FFFFFF"/>
        </w:rPr>
        <w:t>this</w:t>
      </w:r>
      <w:r w:rsidRPr="003237A1">
        <w:rPr>
          <w:rFonts w:ascii="Arial" w:hAnsi="Arial" w:cs="Arial"/>
          <w:color w:val="0B0C0C"/>
          <w:shd w:val="clear" w:color="auto" w:fill="FFFFFF"/>
        </w:rPr>
        <w:t xml:space="preserve"> grant are available at the link below:</w:t>
      </w:r>
    </w:p>
    <w:p w14:paraId="01FDE88E" w14:textId="27DCEC4A" w:rsidR="003237A1" w:rsidRPr="003237A1" w:rsidRDefault="00BC6865" w:rsidP="00637010">
      <w:pPr>
        <w:rPr>
          <w:rFonts w:ascii="Arial" w:hAnsi="Arial" w:cs="Arial"/>
          <w:color w:val="0B0C0C"/>
          <w:shd w:val="clear" w:color="auto" w:fill="FFFFFF"/>
        </w:rPr>
      </w:pPr>
      <w:hyperlink r:id="rId14" w:history="1">
        <w:r w:rsidR="003237A1" w:rsidRPr="003237A1">
          <w:rPr>
            <w:rStyle w:val="Hyperlink"/>
            <w:rFonts w:ascii="Arial" w:hAnsi="Arial" w:cs="Arial"/>
          </w:rPr>
          <w:t>Mainstream schools additional grant 2023 to 2024 - GOV.UK (www.gov.uk)</w:t>
        </w:r>
      </w:hyperlink>
    </w:p>
    <w:p w14:paraId="20339077" w14:textId="77777777" w:rsidR="00637010" w:rsidRPr="00F869FA" w:rsidRDefault="00637010" w:rsidP="00637010">
      <w:pPr>
        <w:rPr>
          <w:rFonts w:ascii="Arial" w:hAnsi="Arial" w:cs="Arial"/>
          <w:color w:val="0B0C0C"/>
          <w:highlight w:val="yellow"/>
          <w:shd w:val="clear" w:color="auto" w:fill="FFFFFF"/>
        </w:rPr>
      </w:pPr>
    </w:p>
    <w:p w14:paraId="2A7AB17A" w14:textId="77777777" w:rsidR="006E6A9C" w:rsidRPr="006325E2" w:rsidRDefault="006E6A9C" w:rsidP="006E6A9C">
      <w:pPr>
        <w:rPr>
          <w:rFonts w:ascii="Arial" w:hAnsi="Arial" w:cs="Arial"/>
          <w:b/>
          <w:color w:val="1F4E79" w:themeColor="accent5" w:themeShade="80"/>
          <w:szCs w:val="20"/>
        </w:rPr>
      </w:pPr>
      <w:r w:rsidRPr="006325E2">
        <w:rPr>
          <w:rFonts w:ascii="Arial" w:hAnsi="Arial" w:cs="Arial"/>
          <w:b/>
          <w:color w:val="1F4E79" w:themeColor="accent5" w:themeShade="80"/>
          <w:szCs w:val="20"/>
        </w:rPr>
        <w:t xml:space="preserve">Schools Forum is asked to:  </w:t>
      </w:r>
    </w:p>
    <w:p w14:paraId="3FF75024" w14:textId="77777777" w:rsidR="006E6A9C" w:rsidRPr="006325E2" w:rsidRDefault="006E6A9C" w:rsidP="006E6A9C">
      <w:pPr>
        <w:rPr>
          <w:rFonts w:ascii="Arial" w:hAnsi="Arial" w:cs="Arial"/>
          <w:b/>
          <w:color w:val="1F4E79" w:themeColor="accent5" w:themeShade="80"/>
          <w:szCs w:val="20"/>
        </w:rPr>
      </w:pPr>
    </w:p>
    <w:p w14:paraId="0DCA3F1C" w14:textId="4F21F22C" w:rsidR="006E6A9C" w:rsidRPr="006325E2" w:rsidRDefault="006E6A9C" w:rsidP="006E6A9C">
      <w:pPr>
        <w:pStyle w:val="ListParagraph"/>
        <w:numPr>
          <w:ilvl w:val="0"/>
          <w:numId w:val="23"/>
        </w:numPr>
        <w:rPr>
          <w:rFonts w:ascii="Arial" w:hAnsi="Arial" w:cs="Arial"/>
          <w:color w:val="1F4E79" w:themeColor="accent5" w:themeShade="80"/>
        </w:rPr>
        <w:sectPr w:rsidR="006E6A9C" w:rsidRPr="006325E2" w:rsidSect="0048518A">
          <w:pgSz w:w="11906" w:h="16838"/>
          <w:pgMar w:top="1134" w:right="1134" w:bottom="1134" w:left="1134" w:header="709" w:footer="709" w:gutter="0"/>
          <w:cols w:space="708"/>
          <w:docGrid w:linePitch="360"/>
        </w:sectPr>
      </w:pPr>
      <w:r w:rsidRPr="006325E2">
        <w:rPr>
          <w:rFonts w:ascii="Arial" w:hAnsi="Arial" w:cs="Arial"/>
          <w:b/>
          <w:color w:val="1F4E79" w:themeColor="accent5" w:themeShade="80"/>
          <w:szCs w:val="20"/>
        </w:rPr>
        <w:t xml:space="preserve">Note the funding announcements </w:t>
      </w:r>
      <w:r w:rsidR="007F3263" w:rsidRPr="006325E2">
        <w:rPr>
          <w:rFonts w:ascii="Arial" w:hAnsi="Arial" w:cs="Arial"/>
          <w:b/>
          <w:color w:val="1F4E79" w:themeColor="accent5" w:themeShade="80"/>
          <w:szCs w:val="20"/>
        </w:rPr>
        <w:t>in relation to the Schools Block</w:t>
      </w:r>
    </w:p>
    <w:p w14:paraId="0F845337" w14:textId="35649662" w:rsidR="002950CD" w:rsidRPr="00C85947" w:rsidRDefault="002950CD" w:rsidP="00BC6865">
      <w:pPr>
        <w:pStyle w:val="Heading2"/>
      </w:pPr>
      <w:r w:rsidRPr="00C85947">
        <w:lastRenderedPageBreak/>
        <w:t>Early Years Block</w:t>
      </w:r>
    </w:p>
    <w:p w14:paraId="0A3AB1D2" w14:textId="5085C79F" w:rsidR="008B0AC5" w:rsidRPr="00F869FA" w:rsidRDefault="008B0AC5" w:rsidP="00637010">
      <w:pPr>
        <w:rPr>
          <w:rFonts w:ascii="Arial" w:hAnsi="Arial" w:cs="Arial"/>
          <w:b/>
          <w:sz w:val="28"/>
          <w:szCs w:val="28"/>
          <w:highlight w:val="yellow"/>
        </w:rPr>
      </w:pPr>
    </w:p>
    <w:p w14:paraId="764950CD" w14:textId="51AC1426" w:rsidR="008B0AC5" w:rsidRPr="00F869FA" w:rsidRDefault="00CA0C3D" w:rsidP="008B0AC5">
      <w:pPr>
        <w:pStyle w:val="ListParagraph"/>
        <w:ind w:left="0"/>
        <w:rPr>
          <w:rFonts w:ascii="Arial" w:hAnsi="Arial" w:cs="Arial"/>
          <w:b/>
          <w:bCs/>
          <w:highlight w:val="yellow"/>
        </w:rPr>
      </w:pPr>
      <w:r w:rsidRPr="00740B38">
        <w:rPr>
          <w:rFonts w:ascii="Arial" w:hAnsi="Arial" w:cs="Arial"/>
          <w:b/>
          <w:bCs/>
        </w:rPr>
        <w:t>6</w:t>
      </w:r>
      <w:r w:rsidR="008B0AC5" w:rsidRPr="00740B38">
        <w:rPr>
          <w:rFonts w:ascii="Arial" w:hAnsi="Arial" w:cs="Arial"/>
          <w:b/>
        </w:rPr>
        <w:t>.1</w:t>
      </w:r>
      <w:r w:rsidR="008B0AC5" w:rsidRPr="00740B38">
        <w:rPr>
          <w:rFonts w:ascii="Arial" w:hAnsi="Arial" w:cs="Arial"/>
          <w:b/>
        </w:rPr>
        <w:tab/>
      </w:r>
      <w:r w:rsidR="008B0AC5" w:rsidRPr="00C85947">
        <w:rPr>
          <w:rFonts w:ascii="Arial" w:hAnsi="Arial" w:cs="Arial"/>
          <w:b/>
          <w:bCs/>
        </w:rPr>
        <w:t>3- and 4-Year-Old Universal Entitlement</w:t>
      </w:r>
    </w:p>
    <w:p w14:paraId="75ADAD66" w14:textId="77777777" w:rsidR="008B0AC5" w:rsidRPr="00F869FA" w:rsidRDefault="008B0AC5" w:rsidP="008B0AC5">
      <w:pPr>
        <w:rPr>
          <w:rFonts w:ascii="Arial" w:hAnsi="Arial" w:cs="Arial"/>
          <w:highlight w:val="yellow"/>
        </w:rPr>
      </w:pPr>
    </w:p>
    <w:p w14:paraId="59B9CECA" w14:textId="01346FDE" w:rsidR="008B0AC5" w:rsidRDefault="008B0AC5" w:rsidP="008B0AC5">
      <w:pPr>
        <w:rPr>
          <w:rStyle w:val="eop"/>
          <w:rFonts w:ascii="Arial" w:hAnsi="Arial" w:cs="Arial"/>
          <w:color w:val="000000"/>
          <w:shd w:val="clear" w:color="auto" w:fill="FFFFFF"/>
        </w:rPr>
      </w:pPr>
      <w:r w:rsidRPr="00FE7CE7">
        <w:rPr>
          <w:rFonts w:ascii="Arial" w:hAnsi="Arial" w:cs="Arial"/>
        </w:rPr>
        <w:t xml:space="preserve">The indicative Early Years Block for 3- and 4-year-old universal entitlement (15 hours per week) in </w:t>
      </w:r>
      <w:r w:rsidR="00A43941">
        <w:rPr>
          <w:rFonts w:ascii="Arial" w:hAnsi="Arial" w:cs="Arial"/>
        </w:rPr>
        <w:t>2023-24</w:t>
      </w:r>
      <w:r w:rsidRPr="00FE7CE7">
        <w:rPr>
          <w:rFonts w:ascii="Arial" w:hAnsi="Arial" w:cs="Arial"/>
        </w:rPr>
        <w:t xml:space="preserve"> totals </w:t>
      </w:r>
      <w:r w:rsidRPr="00580B0B">
        <w:rPr>
          <w:rFonts w:ascii="Arial" w:hAnsi="Arial" w:cs="Arial"/>
        </w:rPr>
        <w:t>£</w:t>
      </w:r>
      <w:r w:rsidR="006F76DE" w:rsidRPr="00580B0B">
        <w:rPr>
          <w:rFonts w:ascii="Arial" w:hAnsi="Arial" w:cs="Arial"/>
        </w:rPr>
        <w:t>30.184</w:t>
      </w:r>
      <w:r w:rsidRPr="00580B0B">
        <w:rPr>
          <w:rFonts w:ascii="Arial" w:hAnsi="Arial" w:cs="Arial"/>
        </w:rPr>
        <w:t xml:space="preserve">m </w:t>
      </w:r>
      <w:r w:rsidRPr="00FE7CE7">
        <w:rPr>
          <w:rFonts w:ascii="Arial" w:hAnsi="Arial" w:cs="Arial"/>
        </w:rPr>
        <w:t xml:space="preserve">compared to </w:t>
      </w:r>
      <w:r w:rsidRPr="00580B0B">
        <w:rPr>
          <w:rFonts w:ascii="Arial" w:hAnsi="Arial" w:cs="Arial"/>
        </w:rPr>
        <w:t>£28.</w:t>
      </w:r>
      <w:r w:rsidR="00E210D9" w:rsidRPr="00580B0B">
        <w:rPr>
          <w:rFonts w:ascii="Arial" w:hAnsi="Arial" w:cs="Arial"/>
        </w:rPr>
        <w:t>397</w:t>
      </w:r>
      <w:r w:rsidRPr="00580B0B">
        <w:rPr>
          <w:rFonts w:ascii="Arial" w:hAnsi="Arial" w:cs="Arial"/>
        </w:rPr>
        <w:t xml:space="preserve">m </w:t>
      </w:r>
      <w:r w:rsidRPr="00FE7CE7">
        <w:rPr>
          <w:rFonts w:ascii="Arial" w:hAnsi="Arial" w:cs="Arial"/>
        </w:rPr>
        <w:t xml:space="preserve">in </w:t>
      </w:r>
      <w:r w:rsidR="00A4319F">
        <w:rPr>
          <w:rFonts w:ascii="Arial" w:hAnsi="Arial" w:cs="Arial"/>
        </w:rPr>
        <w:t>2022-23</w:t>
      </w:r>
      <w:r w:rsidR="00580B0B">
        <w:rPr>
          <w:rFonts w:ascii="Arial" w:hAnsi="Arial" w:cs="Arial"/>
        </w:rPr>
        <w:t xml:space="preserve"> (as of Nov’22 update)</w:t>
      </w:r>
      <w:r w:rsidRPr="00FE7CE7">
        <w:rPr>
          <w:rFonts w:ascii="Arial" w:hAnsi="Arial" w:cs="Arial"/>
        </w:rPr>
        <w:t xml:space="preserve">.  </w:t>
      </w:r>
      <w:r>
        <w:rPr>
          <w:rStyle w:val="normaltextrun"/>
          <w:rFonts w:ascii="Arial" w:hAnsi="Arial" w:cs="Arial"/>
          <w:color w:val="000000"/>
          <w:shd w:val="clear" w:color="auto" w:fill="FFFFFF"/>
        </w:rPr>
        <w:t xml:space="preserve">The </w:t>
      </w:r>
      <w:r w:rsidR="00EF67CA">
        <w:rPr>
          <w:rStyle w:val="normaltextrun"/>
          <w:rFonts w:ascii="Arial" w:hAnsi="Arial" w:cs="Arial"/>
          <w:color w:val="000000"/>
          <w:shd w:val="clear" w:color="auto" w:fill="FFFFFF"/>
        </w:rPr>
        <w:t>increase in funding is due to an increase in the hourly rate from £4.61 per hour in 2022-23 to £4.90 per hour in 2023-24, based on the same number of funded hours for both years.</w:t>
      </w:r>
      <w:r w:rsidR="00EF67CA">
        <w:rPr>
          <w:rStyle w:val="eop"/>
          <w:rFonts w:ascii="Arial" w:hAnsi="Arial" w:cs="Arial"/>
          <w:color w:val="000000"/>
          <w:shd w:val="clear" w:color="auto" w:fill="FFFFFF"/>
        </w:rPr>
        <w:t> </w:t>
      </w:r>
    </w:p>
    <w:p w14:paraId="4F5E7FC4" w14:textId="77777777" w:rsidR="008B0AC5" w:rsidRDefault="008B0AC5" w:rsidP="008B0AC5">
      <w:pPr>
        <w:rPr>
          <w:rStyle w:val="eop"/>
          <w:rFonts w:ascii="Arial" w:hAnsi="Arial" w:cs="Arial"/>
          <w:color w:val="000000"/>
          <w:shd w:val="clear" w:color="auto" w:fill="FFFFFF"/>
        </w:rPr>
      </w:pPr>
    </w:p>
    <w:p w14:paraId="13C18451" w14:textId="6875E25A" w:rsidR="00864F9A" w:rsidRPr="00F869FA" w:rsidRDefault="00864F9A" w:rsidP="008B0AC5">
      <w:pPr>
        <w:rPr>
          <w:rFonts w:ascii="Arial" w:hAnsi="Arial" w:cs="Arial"/>
          <w:dstrike/>
          <w:highlight w:val="yellow"/>
        </w:rPr>
      </w:pPr>
      <w:r>
        <w:rPr>
          <w:rStyle w:val="normaltextrun"/>
          <w:rFonts w:ascii="Arial" w:hAnsi="Arial" w:cs="Arial"/>
          <w:color w:val="000000"/>
          <w:shd w:val="clear" w:color="auto" w:fill="FFFFFF"/>
        </w:rPr>
        <w:t>The 2023-24 published rate for Norfolk’s 3- and 4-year-old funding is £4.90 per hour from which all provider basic hours, supplements (including Teachers’ Pay Grant and Teachers’ Pension Employee Contribution Grant) and central costs must be funded.  The £4.90 per hour includes £0.06 per hour towards Teachers’ Pay Grant (TPG) and Teachers’ Pension Employer Contribution Grant (TPECG) which in 2022-23 were separate grants for schools, and</w:t>
      </w:r>
      <w:r w:rsidR="00E2581B">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excluding that the rate receive</w:t>
      </w:r>
      <w:r w:rsidR="00E2581B">
        <w:rPr>
          <w:rStyle w:val="normaltextrun"/>
          <w:rFonts w:ascii="Arial" w:hAnsi="Arial" w:cs="Arial"/>
          <w:color w:val="000000"/>
          <w:shd w:val="clear" w:color="auto" w:fill="FFFFFF"/>
        </w:rPr>
        <w:t>d</w:t>
      </w:r>
      <w:r>
        <w:rPr>
          <w:rStyle w:val="normaltextrun"/>
          <w:rFonts w:ascii="Arial" w:hAnsi="Arial" w:cs="Arial"/>
          <w:color w:val="000000"/>
          <w:shd w:val="clear" w:color="auto" w:fill="FFFFFF"/>
        </w:rPr>
        <w:t xml:space="preserve"> is £4.84 per hour which is an increase of £0.23 per hour compared to the 2022-23 rate of £4.61 per hour.</w:t>
      </w:r>
      <w:r>
        <w:rPr>
          <w:rStyle w:val="eop"/>
          <w:rFonts w:ascii="Arial" w:hAnsi="Arial" w:cs="Arial"/>
          <w:color w:val="000000"/>
          <w:shd w:val="clear" w:color="auto" w:fill="FFFFFF"/>
        </w:rPr>
        <w:t> </w:t>
      </w:r>
    </w:p>
    <w:p w14:paraId="6ADA9FE4" w14:textId="77777777" w:rsidR="008B0AC5" w:rsidRPr="00F869FA" w:rsidRDefault="008B0AC5" w:rsidP="008B0AC5">
      <w:pPr>
        <w:rPr>
          <w:rFonts w:ascii="Arial" w:hAnsi="Arial" w:cs="Arial"/>
          <w:highlight w:val="yellow"/>
        </w:rPr>
      </w:pPr>
    </w:p>
    <w:p w14:paraId="6034DED1" w14:textId="77777777" w:rsidR="008B0AC5" w:rsidRPr="00F869FA" w:rsidRDefault="008B0AC5" w:rsidP="008B0AC5">
      <w:pPr>
        <w:pStyle w:val="ListParagraph"/>
        <w:rPr>
          <w:rFonts w:ascii="Arial" w:hAnsi="Arial" w:cs="Arial"/>
          <w:highlight w:val="yellow"/>
        </w:rPr>
      </w:pPr>
    </w:p>
    <w:p w14:paraId="6754F4D4" w14:textId="47E8242D" w:rsidR="008B0AC5" w:rsidRPr="00F869FA" w:rsidRDefault="00CA0C3D" w:rsidP="008B0AC5">
      <w:pPr>
        <w:pStyle w:val="ListParagraph"/>
        <w:ind w:left="0"/>
        <w:rPr>
          <w:rFonts w:ascii="Arial" w:hAnsi="Arial" w:cs="Arial"/>
          <w:b/>
          <w:bCs/>
          <w:highlight w:val="yellow"/>
        </w:rPr>
      </w:pPr>
      <w:r w:rsidRPr="00740B38">
        <w:rPr>
          <w:rFonts w:ascii="Arial" w:hAnsi="Arial" w:cs="Arial"/>
          <w:b/>
          <w:bCs/>
        </w:rPr>
        <w:t>6</w:t>
      </w:r>
      <w:r w:rsidR="008B0AC5" w:rsidRPr="00740B38">
        <w:rPr>
          <w:rFonts w:ascii="Arial" w:hAnsi="Arial" w:cs="Arial"/>
          <w:b/>
        </w:rPr>
        <w:t>.2</w:t>
      </w:r>
      <w:r w:rsidR="008B0AC5" w:rsidRPr="00740B38">
        <w:rPr>
          <w:rFonts w:ascii="Arial" w:hAnsi="Arial" w:cs="Arial"/>
          <w:b/>
        </w:rPr>
        <w:tab/>
      </w:r>
      <w:r w:rsidR="008B0AC5" w:rsidRPr="00C85947">
        <w:rPr>
          <w:rFonts w:ascii="Arial" w:hAnsi="Arial" w:cs="Arial"/>
          <w:b/>
          <w:bCs/>
        </w:rPr>
        <w:t>3- and 4-Year-Old Additional Entitlement</w:t>
      </w:r>
    </w:p>
    <w:p w14:paraId="4141615A" w14:textId="77777777" w:rsidR="008B0AC5" w:rsidRPr="00F869FA" w:rsidRDefault="008B0AC5" w:rsidP="008B0AC5">
      <w:pPr>
        <w:pStyle w:val="ListParagraph"/>
        <w:rPr>
          <w:rFonts w:ascii="Arial" w:hAnsi="Arial" w:cs="Arial"/>
          <w:highlight w:val="yellow"/>
        </w:rPr>
      </w:pPr>
    </w:p>
    <w:p w14:paraId="0AC56852" w14:textId="5DD33067" w:rsidR="008B0AC5" w:rsidRDefault="008B0AC5" w:rsidP="008B0AC5">
      <w:pPr>
        <w:rPr>
          <w:rStyle w:val="eop"/>
          <w:rFonts w:ascii="Arial" w:hAnsi="Arial" w:cs="Arial"/>
          <w:color w:val="000000"/>
          <w:shd w:val="clear" w:color="auto" w:fill="FFFFFF"/>
        </w:rPr>
      </w:pPr>
      <w:r>
        <w:rPr>
          <w:rStyle w:val="normaltextrun"/>
          <w:rFonts w:ascii="Arial" w:hAnsi="Arial" w:cs="Arial"/>
          <w:color w:val="000000"/>
          <w:shd w:val="clear" w:color="auto" w:fill="FFFFFF"/>
        </w:rPr>
        <w:t>Working parents may access an additional 15 hours of funded 3- and 4-year-old early education, taking the total amount to 30 hours per week of funded childcare.</w:t>
      </w:r>
      <w:r w:rsidR="00F83E30">
        <w:rPr>
          <w:rStyle w:val="normaltextrun"/>
          <w:rFonts w:ascii="Arial" w:hAnsi="Arial" w:cs="Arial"/>
          <w:color w:val="000000"/>
          <w:shd w:val="clear" w:color="auto" w:fill="FFFFFF"/>
        </w:rPr>
        <w:t> </w:t>
      </w:r>
      <w:r>
        <w:rPr>
          <w:rStyle w:val="normaltextrun"/>
          <w:rFonts w:ascii="Arial" w:hAnsi="Arial" w:cs="Arial"/>
          <w:color w:val="000000"/>
          <w:shd w:val="clear" w:color="auto" w:fill="FFFFFF"/>
        </w:rPr>
        <w:t xml:space="preserve"> Based on the January 202</w:t>
      </w:r>
      <w:r w:rsidR="00FE7CE7">
        <w:rPr>
          <w:rStyle w:val="normaltextrun"/>
          <w:rFonts w:ascii="Arial" w:hAnsi="Arial" w:cs="Arial"/>
          <w:color w:val="000000"/>
          <w:shd w:val="clear" w:color="auto" w:fill="FFFFFF"/>
        </w:rPr>
        <w:t>2</w:t>
      </w:r>
      <w:r>
        <w:rPr>
          <w:rStyle w:val="normaltextrun"/>
          <w:rFonts w:ascii="Arial" w:hAnsi="Arial" w:cs="Arial"/>
          <w:color w:val="000000"/>
          <w:shd w:val="clear" w:color="auto" w:fill="FFFFFF"/>
        </w:rPr>
        <w:t xml:space="preserve"> census, the DfE has provided indicative funding of £</w:t>
      </w:r>
      <w:r w:rsidR="00F83E30">
        <w:rPr>
          <w:rStyle w:val="normaltextrun"/>
          <w:rFonts w:ascii="Arial" w:hAnsi="Arial" w:cs="Arial"/>
          <w:color w:val="000000"/>
          <w:shd w:val="clear" w:color="auto" w:fill="FFFFFF"/>
        </w:rPr>
        <w:t>10.863</w:t>
      </w:r>
      <w:r>
        <w:rPr>
          <w:rStyle w:val="normaltextrun"/>
          <w:rFonts w:ascii="Arial" w:hAnsi="Arial" w:cs="Arial"/>
          <w:color w:val="000000"/>
          <w:shd w:val="clear" w:color="auto" w:fill="FFFFFF"/>
        </w:rPr>
        <w:t xml:space="preserve"> for the estimated take up of the additional 15 hours by parents in </w:t>
      </w:r>
      <w:r w:rsidR="00A43941">
        <w:rPr>
          <w:rStyle w:val="normaltextrun"/>
          <w:rFonts w:ascii="Arial" w:hAnsi="Arial" w:cs="Arial"/>
          <w:color w:val="000000"/>
          <w:shd w:val="clear" w:color="auto" w:fill="FFFFFF"/>
        </w:rPr>
        <w:t>2023-24</w:t>
      </w:r>
      <w:r>
        <w:rPr>
          <w:rStyle w:val="normaltextrun"/>
          <w:rFonts w:ascii="Arial" w:hAnsi="Arial" w:cs="Arial"/>
          <w:color w:val="000000"/>
          <w:shd w:val="clear" w:color="auto" w:fill="FFFFFF"/>
        </w:rPr>
        <w:t>, compared to £</w:t>
      </w:r>
      <w:r w:rsidR="00F83E30">
        <w:rPr>
          <w:rStyle w:val="normaltextrun"/>
          <w:rFonts w:ascii="Arial" w:hAnsi="Arial" w:cs="Arial"/>
          <w:color w:val="000000"/>
          <w:shd w:val="clear" w:color="auto" w:fill="FFFFFF"/>
        </w:rPr>
        <w:t>10.220m</w:t>
      </w:r>
      <w:r>
        <w:rPr>
          <w:rStyle w:val="normaltextrun"/>
          <w:rFonts w:ascii="Arial" w:hAnsi="Arial" w:cs="Arial"/>
          <w:color w:val="000000"/>
          <w:shd w:val="clear" w:color="auto" w:fill="FFFFFF"/>
        </w:rPr>
        <w:t xml:space="preserve"> in </w:t>
      </w:r>
      <w:r w:rsidR="00A4319F">
        <w:rPr>
          <w:rStyle w:val="normaltextrun"/>
          <w:rFonts w:ascii="Arial" w:hAnsi="Arial" w:cs="Arial"/>
          <w:color w:val="000000"/>
          <w:shd w:val="clear" w:color="auto" w:fill="FFFFFF"/>
        </w:rPr>
        <w:t>2022-23</w:t>
      </w:r>
      <w:r w:rsidR="000F0B1C">
        <w:rPr>
          <w:rStyle w:val="normaltextrun"/>
          <w:rFonts w:ascii="Arial" w:hAnsi="Arial" w:cs="Arial"/>
          <w:color w:val="000000"/>
          <w:shd w:val="clear" w:color="auto" w:fill="FFFFFF"/>
        </w:rPr>
        <w:t xml:space="preserve"> (as at Nov’22 update)</w:t>
      </w:r>
      <w:r w:rsidR="00F83E30">
        <w:rPr>
          <w:rStyle w:val="normaltextrun"/>
          <w:rFonts w:ascii="Arial" w:hAnsi="Arial" w:cs="Arial"/>
          <w:color w:val="000000"/>
          <w:shd w:val="clear" w:color="auto" w:fill="FFFFFF"/>
        </w:rPr>
        <w:t>.  The increase in funding is due to an increase in the hourly rate from £4.61 per hour in 2022-23 to £4.90 per hour (including £0.06</w:t>
      </w:r>
      <w:r w:rsidR="005E1D88">
        <w:rPr>
          <w:rStyle w:val="normaltextrun"/>
          <w:rFonts w:ascii="Arial" w:hAnsi="Arial" w:cs="Arial"/>
          <w:color w:val="000000"/>
          <w:shd w:val="clear" w:color="auto" w:fill="FFFFFF"/>
        </w:rPr>
        <w:t>/</w:t>
      </w:r>
      <w:r w:rsidR="00F83E30">
        <w:rPr>
          <w:rStyle w:val="normaltextrun"/>
          <w:rFonts w:ascii="Arial" w:hAnsi="Arial" w:cs="Arial"/>
          <w:color w:val="000000"/>
          <w:shd w:val="clear" w:color="auto" w:fill="FFFFFF"/>
        </w:rPr>
        <w:t>hr towards TPG/TPECG) in 2023-24, based on the same number of funded hours for both years.</w:t>
      </w:r>
      <w:r w:rsidR="00F83E30">
        <w:rPr>
          <w:rStyle w:val="eop"/>
          <w:rFonts w:ascii="Arial" w:hAnsi="Arial" w:cs="Arial"/>
          <w:color w:val="000000"/>
          <w:shd w:val="clear" w:color="auto" w:fill="FFFFFF"/>
        </w:rPr>
        <w:t> </w:t>
      </w:r>
    </w:p>
    <w:p w14:paraId="17575D23" w14:textId="77777777" w:rsidR="00F83E30" w:rsidRPr="00F869FA" w:rsidRDefault="00F83E30" w:rsidP="008B0AC5">
      <w:pPr>
        <w:rPr>
          <w:rFonts w:ascii="Arial" w:hAnsi="Arial" w:cs="Arial"/>
          <w:bCs/>
          <w:highlight w:val="yellow"/>
        </w:rPr>
      </w:pPr>
    </w:p>
    <w:p w14:paraId="523FD347" w14:textId="0B58B91B" w:rsidR="008B0AC5" w:rsidRPr="00FE7CE7" w:rsidRDefault="00CA0C3D" w:rsidP="008B0AC5">
      <w:pPr>
        <w:pStyle w:val="ListParagraph"/>
        <w:ind w:left="0"/>
        <w:rPr>
          <w:rFonts w:ascii="Arial" w:hAnsi="Arial" w:cs="Arial"/>
          <w:b/>
          <w:bCs/>
        </w:rPr>
      </w:pPr>
      <w:r w:rsidRPr="00740B38">
        <w:rPr>
          <w:rFonts w:ascii="Arial" w:hAnsi="Arial" w:cs="Arial"/>
          <w:b/>
          <w:bCs/>
        </w:rPr>
        <w:t>6</w:t>
      </w:r>
      <w:r w:rsidR="008B0AC5" w:rsidRPr="00740B38">
        <w:rPr>
          <w:rFonts w:ascii="Arial" w:hAnsi="Arial" w:cs="Arial"/>
          <w:b/>
        </w:rPr>
        <w:t>.</w:t>
      </w:r>
      <w:r w:rsidR="00E15B25" w:rsidRPr="00740B38">
        <w:rPr>
          <w:rFonts w:ascii="Arial" w:hAnsi="Arial" w:cs="Arial"/>
          <w:b/>
        </w:rPr>
        <w:t>3</w:t>
      </w:r>
      <w:r w:rsidR="008B0AC5" w:rsidRPr="00740B38">
        <w:rPr>
          <w:rFonts w:ascii="Arial" w:hAnsi="Arial" w:cs="Arial"/>
          <w:b/>
        </w:rPr>
        <w:tab/>
      </w:r>
      <w:r w:rsidR="008B0AC5" w:rsidRPr="00FE7CE7">
        <w:rPr>
          <w:rFonts w:ascii="Arial" w:hAnsi="Arial" w:cs="Arial"/>
          <w:b/>
          <w:bCs/>
        </w:rPr>
        <w:t>2-Year-Old Entitlement</w:t>
      </w:r>
    </w:p>
    <w:p w14:paraId="75991B30" w14:textId="77777777" w:rsidR="008B0AC5" w:rsidRPr="00FE7CE7" w:rsidRDefault="008B0AC5" w:rsidP="008B0AC5">
      <w:pPr>
        <w:ind w:left="426"/>
        <w:rPr>
          <w:rFonts w:ascii="Arial" w:hAnsi="Arial" w:cs="Arial"/>
          <w:b/>
        </w:rPr>
      </w:pPr>
    </w:p>
    <w:p w14:paraId="0DB4FCD2" w14:textId="22A1B9FE" w:rsidR="008B0AC5" w:rsidRPr="00997227" w:rsidRDefault="008B0AC5" w:rsidP="008B0AC5">
      <w:pPr>
        <w:ind w:right="57"/>
        <w:rPr>
          <w:rFonts w:ascii="Arial" w:hAnsi="Arial" w:cs="Arial"/>
        </w:rPr>
      </w:pPr>
      <w:r w:rsidRPr="002B17DF">
        <w:rPr>
          <w:rFonts w:ascii="Arial" w:hAnsi="Arial" w:cs="Arial"/>
        </w:rPr>
        <w:t>Parents can access 15 hours of funded 2-year-old early education, if they meet the eligibility criteria. The Department of Education is providing £4.</w:t>
      </w:r>
      <w:r w:rsidR="00963540" w:rsidRPr="002B17DF">
        <w:rPr>
          <w:rFonts w:ascii="Arial" w:hAnsi="Arial" w:cs="Arial"/>
        </w:rPr>
        <w:t>993</w:t>
      </w:r>
      <w:r w:rsidRPr="002B17DF">
        <w:rPr>
          <w:rFonts w:ascii="Arial" w:hAnsi="Arial" w:cs="Arial"/>
        </w:rPr>
        <w:t>m of funding initially based on the January 202</w:t>
      </w:r>
      <w:r w:rsidR="00FE7CE7" w:rsidRPr="002B17DF">
        <w:rPr>
          <w:rFonts w:ascii="Arial" w:hAnsi="Arial" w:cs="Arial"/>
        </w:rPr>
        <w:t>2</w:t>
      </w:r>
      <w:r w:rsidRPr="002B17DF">
        <w:rPr>
          <w:rFonts w:ascii="Arial" w:hAnsi="Arial" w:cs="Arial"/>
        </w:rPr>
        <w:t xml:space="preserve"> census (compared to £4.</w:t>
      </w:r>
      <w:r w:rsidR="002B17DF" w:rsidRPr="002B17DF">
        <w:rPr>
          <w:rFonts w:ascii="Arial" w:hAnsi="Arial" w:cs="Arial"/>
        </w:rPr>
        <w:t>870</w:t>
      </w:r>
      <w:r w:rsidRPr="002B17DF">
        <w:rPr>
          <w:rFonts w:ascii="Arial" w:hAnsi="Arial" w:cs="Arial"/>
        </w:rPr>
        <w:t xml:space="preserve">m in </w:t>
      </w:r>
      <w:r w:rsidR="00A4319F" w:rsidRPr="002B17DF">
        <w:rPr>
          <w:rFonts w:ascii="Arial" w:hAnsi="Arial" w:cs="Arial"/>
        </w:rPr>
        <w:t>2022-23</w:t>
      </w:r>
      <w:r w:rsidR="00D1240A">
        <w:rPr>
          <w:rFonts w:ascii="Arial" w:hAnsi="Arial" w:cs="Arial"/>
        </w:rPr>
        <w:t xml:space="preserve"> as update</w:t>
      </w:r>
      <w:r w:rsidR="00997227">
        <w:rPr>
          <w:rFonts w:ascii="Arial" w:hAnsi="Arial" w:cs="Arial"/>
        </w:rPr>
        <w:t>d</w:t>
      </w:r>
      <w:r w:rsidR="00D1240A">
        <w:rPr>
          <w:rFonts w:ascii="Arial" w:hAnsi="Arial" w:cs="Arial"/>
        </w:rPr>
        <w:t xml:space="preserve"> at </w:t>
      </w:r>
      <w:r w:rsidR="00D1240A" w:rsidRPr="00997227">
        <w:rPr>
          <w:rFonts w:ascii="Arial" w:hAnsi="Arial" w:cs="Arial"/>
        </w:rPr>
        <w:t>November 2022</w:t>
      </w:r>
      <w:r w:rsidRPr="00997227">
        <w:rPr>
          <w:rFonts w:ascii="Arial" w:hAnsi="Arial" w:cs="Arial"/>
        </w:rPr>
        <w:t>).  The Local Authority will receive £5.</w:t>
      </w:r>
      <w:r w:rsidR="00997227" w:rsidRPr="00997227">
        <w:rPr>
          <w:rFonts w:ascii="Arial" w:hAnsi="Arial" w:cs="Arial"/>
        </w:rPr>
        <w:t>71</w:t>
      </w:r>
      <w:r w:rsidRPr="00997227">
        <w:rPr>
          <w:rFonts w:ascii="Arial" w:hAnsi="Arial" w:cs="Arial"/>
        </w:rPr>
        <w:t xml:space="preserve"> per hour for Early Education of 2-year-olds, which is an increase of £0.</w:t>
      </w:r>
      <w:r w:rsidR="00997227" w:rsidRPr="00997227">
        <w:rPr>
          <w:rFonts w:ascii="Arial" w:hAnsi="Arial" w:cs="Arial"/>
        </w:rPr>
        <w:t>14</w:t>
      </w:r>
      <w:r w:rsidRPr="00997227">
        <w:rPr>
          <w:rFonts w:ascii="Arial" w:hAnsi="Arial" w:cs="Arial"/>
        </w:rPr>
        <w:t xml:space="preserve"> per hour compared to </w:t>
      </w:r>
      <w:r w:rsidR="00A4319F" w:rsidRPr="00997227">
        <w:rPr>
          <w:rFonts w:ascii="Arial" w:hAnsi="Arial" w:cs="Arial"/>
        </w:rPr>
        <w:t>2022-23</w:t>
      </w:r>
      <w:r w:rsidRPr="00997227">
        <w:rPr>
          <w:rFonts w:ascii="Arial" w:hAnsi="Arial" w:cs="Arial"/>
        </w:rPr>
        <w:t xml:space="preserve">.  </w:t>
      </w:r>
    </w:p>
    <w:p w14:paraId="7353CBD8" w14:textId="77777777" w:rsidR="008B0AC5" w:rsidRPr="00740B38" w:rsidRDefault="008B0AC5" w:rsidP="008B0AC5">
      <w:pPr>
        <w:rPr>
          <w:rFonts w:ascii="Arial" w:hAnsi="Arial" w:cs="Arial"/>
          <w:b/>
        </w:rPr>
      </w:pPr>
    </w:p>
    <w:p w14:paraId="70C00937" w14:textId="601B1FC8" w:rsidR="008B0AC5" w:rsidRPr="00740B38" w:rsidRDefault="00CA0C3D" w:rsidP="008B0AC5">
      <w:pPr>
        <w:rPr>
          <w:rFonts w:ascii="Arial" w:hAnsi="Arial" w:cs="Arial"/>
          <w:b/>
        </w:rPr>
      </w:pPr>
      <w:r w:rsidRPr="00740B38">
        <w:rPr>
          <w:rFonts w:ascii="Arial" w:hAnsi="Arial" w:cs="Arial"/>
          <w:b/>
        </w:rPr>
        <w:t>6</w:t>
      </w:r>
      <w:r w:rsidR="008B0AC5" w:rsidRPr="00740B38">
        <w:rPr>
          <w:rFonts w:ascii="Arial" w:hAnsi="Arial" w:cs="Arial"/>
          <w:b/>
        </w:rPr>
        <w:t>.4</w:t>
      </w:r>
      <w:r w:rsidR="008B0AC5" w:rsidRPr="00740B38">
        <w:rPr>
          <w:rFonts w:ascii="Arial" w:hAnsi="Arial" w:cs="Arial"/>
          <w:b/>
        </w:rPr>
        <w:tab/>
      </w:r>
      <w:r w:rsidR="008B0AC5" w:rsidRPr="00FE7CE7">
        <w:rPr>
          <w:rFonts w:ascii="Arial" w:hAnsi="Arial" w:cs="Arial"/>
          <w:b/>
        </w:rPr>
        <w:t>Early Years Pupil Premium</w:t>
      </w:r>
    </w:p>
    <w:p w14:paraId="122E649D" w14:textId="77777777" w:rsidR="008B0AC5" w:rsidRPr="00740B38" w:rsidRDefault="008B0AC5" w:rsidP="008B0AC5">
      <w:pPr>
        <w:rPr>
          <w:rFonts w:ascii="Arial" w:hAnsi="Arial" w:cs="Arial"/>
          <w:b/>
        </w:rPr>
      </w:pPr>
    </w:p>
    <w:p w14:paraId="18D6A897" w14:textId="49AE8CBB" w:rsidR="008B0AC5" w:rsidRPr="00740B38" w:rsidRDefault="008B0AC5" w:rsidP="008B0AC5">
      <w:pPr>
        <w:ind w:right="57"/>
        <w:rPr>
          <w:rFonts w:ascii="Arial" w:hAnsi="Arial" w:cs="Arial"/>
        </w:rPr>
      </w:pPr>
      <w:r w:rsidRPr="00310418">
        <w:rPr>
          <w:rFonts w:ascii="Arial" w:hAnsi="Arial" w:cs="Arial"/>
        </w:rPr>
        <w:t xml:space="preserve">Early Years Pupil Premium continues for </w:t>
      </w:r>
      <w:r w:rsidR="00A43941" w:rsidRPr="00310418">
        <w:rPr>
          <w:rFonts w:ascii="Arial" w:hAnsi="Arial" w:cs="Arial"/>
        </w:rPr>
        <w:t>2023-24</w:t>
      </w:r>
      <w:r w:rsidRPr="00310418">
        <w:rPr>
          <w:rFonts w:ascii="Arial" w:hAnsi="Arial" w:cs="Arial"/>
        </w:rPr>
        <w:t xml:space="preserve"> at an increased rate of £0.6</w:t>
      </w:r>
      <w:r w:rsidR="00DD7E33" w:rsidRPr="00310418">
        <w:rPr>
          <w:rFonts w:ascii="Arial" w:hAnsi="Arial" w:cs="Arial"/>
        </w:rPr>
        <w:t>2</w:t>
      </w:r>
      <w:r w:rsidRPr="00310418">
        <w:rPr>
          <w:rFonts w:ascii="Arial" w:hAnsi="Arial" w:cs="Arial"/>
        </w:rPr>
        <w:t xml:space="preserve"> per hour (£0.</w:t>
      </w:r>
      <w:r w:rsidR="00DD7E33" w:rsidRPr="00310418">
        <w:rPr>
          <w:rFonts w:ascii="Arial" w:hAnsi="Arial" w:cs="Arial"/>
        </w:rPr>
        <w:t>60</w:t>
      </w:r>
      <w:r w:rsidRPr="00310418">
        <w:rPr>
          <w:rFonts w:ascii="Arial" w:hAnsi="Arial" w:cs="Arial"/>
        </w:rPr>
        <w:t xml:space="preserve"> per hour in 202</w:t>
      </w:r>
      <w:r w:rsidR="00310418" w:rsidRPr="00310418">
        <w:rPr>
          <w:rFonts w:ascii="Arial" w:hAnsi="Arial" w:cs="Arial"/>
        </w:rPr>
        <w:t>2</w:t>
      </w:r>
      <w:r w:rsidRPr="00310418">
        <w:rPr>
          <w:rFonts w:ascii="Arial" w:hAnsi="Arial" w:cs="Arial"/>
        </w:rPr>
        <w:t>/2</w:t>
      </w:r>
      <w:r w:rsidR="00310418" w:rsidRPr="00310418">
        <w:rPr>
          <w:rFonts w:ascii="Arial" w:hAnsi="Arial" w:cs="Arial"/>
        </w:rPr>
        <w:t>3</w:t>
      </w:r>
      <w:r w:rsidRPr="00310418">
        <w:rPr>
          <w:rFonts w:ascii="Arial" w:hAnsi="Arial" w:cs="Arial"/>
        </w:rPr>
        <w:t xml:space="preserve">) per eligible child claiming 3 and 4-year-old funding, up to a maximum of 570 hours per year.  </w:t>
      </w:r>
      <w:r w:rsidRPr="00C01A36">
        <w:rPr>
          <w:rFonts w:ascii="Arial" w:hAnsi="Arial" w:cs="Arial"/>
        </w:rPr>
        <w:t>The initial published allocation is £0.</w:t>
      </w:r>
      <w:r w:rsidR="00C01A36" w:rsidRPr="00C01A36">
        <w:rPr>
          <w:rFonts w:ascii="Arial" w:hAnsi="Arial" w:cs="Arial"/>
        </w:rPr>
        <w:t>631</w:t>
      </w:r>
      <w:r w:rsidRPr="00C01A36">
        <w:rPr>
          <w:rFonts w:ascii="Arial" w:hAnsi="Arial" w:cs="Arial"/>
        </w:rPr>
        <w:t xml:space="preserve">m.  </w:t>
      </w:r>
    </w:p>
    <w:p w14:paraId="7E0E5C41" w14:textId="77777777" w:rsidR="008B0AC5" w:rsidRPr="00740B38" w:rsidRDefault="008B0AC5" w:rsidP="008B0AC5">
      <w:pPr>
        <w:rPr>
          <w:rFonts w:ascii="Arial" w:hAnsi="Arial" w:cs="Arial"/>
          <w:b/>
        </w:rPr>
      </w:pPr>
    </w:p>
    <w:p w14:paraId="07F61AAF" w14:textId="7184153F" w:rsidR="008B0AC5" w:rsidRPr="00FE7CE7" w:rsidRDefault="00CA0C3D" w:rsidP="008B0AC5">
      <w:pPr>
        <w:rPr>
          <w:rFonts w:ascii="Arial" w:hAnsi="Arial" w:cs="Arial"/>
          <w:b/>
          <w:bCs/>
        </w:rPr>
      </w:pPr>
      <w:r w:rsidRPr="00740B38">
        <w:rPr>
          <w:rFonts w:ascii="Arial" w:hAnsi="Arial" w:cs="Arial"/>
          <w:b/>
          <w:bCs/>
        </w:rPr>
        <w:t>6</w:t>
      </w:r>
      <w:r w:rsidR="008B0AC5" w:rsidRPr="00740B38">
        <w:rPr>
          <w:rFonts w:ascii="Arial" w:hAnsi="Arial" w:cs="Arial"/>
          <w:b/>
        </w:rPr>
        <w:t>.</w:t>
      </w:r>
      <w:r w:rsidR="00E15B25" w:rsidRPr="00740B38">
        <w:rPr>
          <w:rFonts w:ascii="Arial" w:hAnsi="Arial" w:cs="Arial"/>
          <w:b/>
        </w:rPr>
        <w:t>5</w:t>
      </w:r>
      <w:r w:rsidR="008B0AC5" w:rsidRPr="00740B38">
        <w:rPr>
          <w:rFonts w:ascii="Arial" w:hAnsi="Arial" w:cs="Arial"/>
          <w:b/>
        </w:rPr>
        <w:tab/>
      </w:r>
      <w:r w:rsidR="008B0AC5" w:rsidRPr="00FE7CE7">
        <w:rPr>
          <w:rFonts w:ascii="Arial" w:hAnsi="Arial" w:cs="Arial"/>
          <w:b/>
          <w:bCs/>
        </w:rPr>
        <w:t xml:space="preserve">EY Final Allocations and Budgeting for </w:t>
      </w:r>
      <w:r w:rsidR="00A43941">
        <w:rPr>
          <w:rFonts w:ascii="Arial" w:hAnsi="Arial" w:cs="Arial"/>
          <w:b/>
          <w:bCs/>
        </w:rPr>
        <w:t>2023-24</w:t>
      </w:r>
    </w:p>
    <w:p w14:paraId="076A62CD" w14:textId="77777777" w:rsidR="008B0AC5" w:rsidRPr="00F869FA" w:rsidRDefault="008B0AC5" w:rsidP="008B0AC5">
      <w:pPr>
        <w:rPr>
          <w:rFonts w:ascii="Arial" w:hAnsi="Arial" w:cs="Arial"/>
          <w:highlight w:val="yellow"/>
        </w:rPr>
      </w:pPr>
    </w:p>
    <w:p w14:paraId="175D00EE" w14:textId="1EAD1CC5" w:rsidR="008B0AC5" w:rsidRPr="00F869FA" w:rsidRDefault="008B0AC5" w:rsidP="008B0AC5">
      <w:pPr>
        <w:rPr>
          <w:rFonts w:ascii="Arial" w:hAnsi="Arial" w:cs="Arial"/>
          <w:color w:val="0B0C0C"/>
          <w:highlight w:val="yellow"/>
          <w:shd w:val="clear" w:color="auto" w:fill="FFFFFF"/>
        </w:rPr>
      </w:pPr>
      <w:r w:rsidRPr="00FE7CE7">
        <w:rPr>
          <w:rFonts w:ascii="Arial" w:hAnsi="Arial" w:cs="Arial"/>
        </w:rPr>
        <w:t xml:space="preserve">Final Early Years Block allocations for </w:t>
      </w:r>
      <w:r w:rsidR="00A43941">
        <w:rPr>
          <w:rFonts w:ascii="Arial" w:hAnsi="Arial" w:cs="Arial"/>
        </w:rPr>
        <w:t>2023-24</w:t>
      </w:r>
      <w:r w:rsidRPr="00FE7CE7">
        <w:rPr>
          <w:rFonts w:ascii="Arial" w:hAnsi="Arial" w:cs="Arial"/>
        </w:rPr>
        <w:t xml:space="preserve"> will be based on </w:t>
      </w:r>
      <w:r w:rsidRPr="00FE7CE7">
        <w:rPr>
          <w:rFonts w:ascii="Arial" w:hAnsi="Arial" w:cs="Arial"/>
          <w:color w:val="0B0C0C"/>
          <w:shd w:val="clear" w:color="auto" w:fill="FFFFFF"/>
        </w:rPr>
        <w:t>5/12</w:t>
      </w:r>
      <w:r w:rsidRPr="00FE7CE7">
        <w:rPr>
          <w:rFonts w:ascii="Arial" w:hAnsi="Arial" w:cs="Arial"/>
          <w:color w:val="0B0C0C"/>
          <w:shd w:val="clear" w:color="auto" w:fill="FFFFFF"/>
          <w:vertAlign w:val="superscript"/>
        </w:rPr>
        <w:t>th</w:t>
      </w:r>
      <w:r w:rsidRPr="00FE7CE7">
        <w:rPr>
          <w:rFonts w:ascii="Arial" w:hAnsi="Arial" w:cs="Arial"/>
          <w:color w:val="0B0C0C"/>
          <w:shd w:val="clear" w:color="auto" w:fill="FFFFFF"/>
        </w:rPr>
        <w:t xml:space="preserve"> of Part Time Equivalent data from the January 202</w:t>
      </w:r>
      <w:r w:rsidR="00FE7CE7" w:rsidRPr="00FE7CE7">
        <w:rPr>
          <w:rFonts w:ascii="Arial" w:hAnsi="Arial" w:cs="Arial"/>
          <w:color w:val="0B0C0C"/>
          <w:shd w:val="clear" w:color="auto" w:fill="FFFFFF"/>
        </w:rPr>
        <w:t>3</w:t>
      </w:r>
      <w:r w:rsidRPr="00FE7CE7">
        <w:rPr>
          <w:rFonts w:ascii="Arial" w:hAnsi="Arial" w:cs="Arial"/>
          <w:color w:val="0B0C0C"/>
          <w:shd w:val="clear" w:color="auto" w:fill="FFFFFF"/>
        </w:rPr>
        <w:t xml:space="preserve"> Census and 7/12</w:t>
      </w:r>
      <w:r w:rsidRPr="00FE7CE7">
        <w:rPr>
          <w:rFonts w:ascii="Arial" w:hAnsi="Arial" w:cs="Arial"/>
          <w:color w:val="0B0C0C"/>
          <w:shd w:val="clear" w:color="auto" w:fill="FFFFFF"/>
          <w:vertAlign w:val="superscript"/>
        </w:rPr>
        <w:t>th</w:t>
      </w:r>
      <w:r w:rsidRPr="00FE7CE7">
        <w:rPr>
          <w:rFonts w:ascii="Arial" w:hAnsi="Arial" w:cs="Arial"/>
          <w:color w:val="0B0C0C"/>
          <w:shd w:val="clear" w:color="auto" w:fill="FFFFFF"/>
        </w:rPr>
        <w:t xml:space="preserve"> of PTE data from the January 202</w:t>
      </w:r>
      <w:r w:rsidR="00FE7CE7" w:rsidRPr="00FE7CE7">
        <w:rPr>
          <w:rFonts w:ascii="Arial" w:hAnsi="Arial" w:cs="Arial"/>
          <w:color w:val="0B0C0C"/>
          <w:shd w:val="clear" w:color="auto" w:fill="FFFFFF"/>
        </w:rPr>
        <w:t>4</w:t>
      </w:r>
      <w:r w:rsidRPr="00FE7CE7">
        <w:rPr>
          <w:rFonts w:ascii="Arial" w:hAnsi="Arial" w:cs="Arial"/>
          <w:color w:val="0B0C0C"/>
          <w:shd w:val="clear" w:color="auto" w:fill="FFFFFF"/>
        </w:rPr>
        <w:t xml:space="preserve"> Census.  </w:t>
      </w:r>
      <w:r w:rsidRPr="00284E5E">
        <w:rPr>
          <w:rFonts w:ascii="Arial" w:hAnsi="Arial" w:cs="Arial"/>
          <w:color w:val="0B0C0C"/>
          <w:shd w:val="clear" w:color="auto" w:fill="FFFFFF"/>
        </w:rPr>
        <w:t xml:space="preserve">The local authority will account for EY Block income on an accruals basis, entering estimated adjustments into the accounts at year end to reflect the estimated final EY Block funding for </w:t>
      </w:r>
      <w:r w:rsidR="00A43941">
        <w:rPr>
          <w:rFonts w:ascii="Arial" w:hAnsi="Arial" w:cs="Arial"/>
          <w:color w:val="0B0C0C"/>
          <w:shd w:val="clear" w:color="auto" w:fill="FFFFFF"/>
        </w:rPr>
        <w:t>2023-24</w:t>
      </w:r>
      <w:r w:rsidRPr="00284E5E">
        <w:rPr>
          <w:rFonts w:ascii="Arial" w:hAnsi="Arial" w:cs="Arial"/>
          <w:color w:val="0B0C0C"/>
          <w:shd w:val="clear" w:color="auto" w:fill="FFFFFF"/>
        </w:rPr>
        <w:t xml:space="preserve">.  The final adjustment to </w:t>
      </w:r>
      <w:r w:rsidR="00A43941">
        <w:rPr>
          <w:rFonts w:ascii="Arial" w:hAnsi="Arial" w:cs="Arial"/>
          <w:color w:val="0B0C0C"/>
          <w:shd w:val="clear" w:color="auto" w:fill="FFFFFF"/>
        </w:rPr>
        <w:t>2023-24</w:t>
      </w:r>
      <w:r w:rsidRPr="00284E5E">
        <w:rPr>
          <w:rFonts w:ascii="Arial" w:hAnsi="Arial" w:cs="Arial"/>
          <w:color w:val="0B0C0C"/>
          <w:shd w:val="clear" w:color="auto" w:fill="FFFFFF"/>
        </w:rPr>
        <w:t xml:space="preserve"> Early Years Block will take place in July 202</w:t>
      </w:r>
      <w:r w:rsidR="00284E5E" w:rsidRPr="00284E5E">
        <w:rPr>
          <w:rFonts w:ascii="Arial" w:hAnsi="Arial" w:cs="Arial"/>
          <w:color w:val="0B0C0C"/>
          <w:shd w:val="clear" w:color="auto" w:fill="FFFFFF"/>
        </w:rPr>
        <w:t>4</w:t>
      </w:r>
      <w:r w:rsidRPr="00284E5E">
        <w:rPr>
          <w:rFonts w:ascii="Arial" w:hAnsi="Arial" w:cs="Arial"/>
          <w:color w:val="0B0C0C"/>
          <w:shd w:val="clear" w:color="auto" w:fill="FFFFFF"/>
        </w:rPr>
        <w:t>, after year end.</w:t>
      </w:r>
    </w:p>
    <w:p w14:paraId="65F9759D" w14:textId="77777777" w:rsidR="008B0AC5" w:rsidRPr="00F869FA" w:rsidRDefault="008B0AC5" w:rsidP="008B0AC5">
      <w:pPr>
        <w:rPr>
          <w:rFonts w:ascii="Arial" w:hAnsi="Arial" w:cs="Arial"/>
          <w:color w:val="0B0C0C"/>
          <w:highlight w:val="yellow"/>
          <w:shd w:val="clear" w:color="auto" w:fill="FFFFFF"/>
        </w:rPr>
      </w:pPr>
    </w:p>
    <w:p w14:paraId="2E21E8FE" w14:textId="77777777" w:rsidR="008B0AC5" w:rsidRPr="00284E5E" w:rsidRDefault="008B0AC5" w:rsidP="008B0AC5">
      <w:pPr>
        <w:rPr>
          <w:rFonts w:ascii="Arial" w:hAnsi="Arial" w:cs="Arial"/>
          <w:color w:val="0B0C0C"/>
          <w:shd w:val="clear" w:color="auto" w:fill="FFFFFF"/>
        </w:rPr>
      </w:pPr>
      <w:r w:rsidRPr="00284E5E">
        <w:rPr>
          <w:rFonts w:ascii="Arial" w:hAnsi="Arial" w:cs="Arial"/>
          <w:color w:val="0B0C0C"/>
          <w:shd w:val="clear" w:color="auto" w:fill="FFFFFF"/>
        </w:rPr>
        <w:lastRenderedPageBreak/>
        <w:t>Initial budgets, and the funding formula, will be set based on the DfE’s indicative Early Years Block allocation.</w:t>
      </w:r>
    </w:p>
    <w:p w14:paraId="65F433C2" w14:textId="77777777" w:rsidR="008B0AC5" w:rsidRPr="00F869FA" w:rsidRDefault="008B0AC5" w:rsidP="008B0AC5">
      <w:pPr>
        <w:rPr>
          <w:rFonts w:ascii="Arial" w:hAnsi="Arial" w:cs="Arial"/>
          <w:color w:val="0B0C0C"/>
          <w:highlight w:val="yellow"/>
          <w:shd w:val="clear" w:color="auto" w:fill="FFFFFF"/>
        </w:rPr>
      </w:pPr>
    </w:p>
    <w:p w14:paraId="045B2FF7" w14:textId="129257CD" w:rsidR="00E15B25" w:rsidRPr="00F869FA" w:rsidRDefault="00CA0C3D" w:rsidP="00E15B25">
      <w:pPr>
        <w:rPr>
          <w:rFonts w:ascii="Arial" w:hAnsi="Arial" w:cs="Arial"/>
          <w:b/>
          <w:bCs/>
          <w:color w:val="0B0C0C"/>
          <w:highlight w:val="yellow"/>
          <w:shd w:val="clear" w:color="auto" w:fill="FFFFFF"/>
        </w:rPr>
      </w:pPr>
      <w:r w:rsidRPr="00740B38">
        <w:rPr>
          <w:rFonts w:ascii="Arial" w:hAnsi="Arial" w:cs="Arial"/>
          <w:b/>
          <w:bCs/>
          <w:color w:val="0B0C0C"/>
          <w:shd w:val="clear" w:color="auto" w:fill="FFFFFF"/>
        </w:rPr>
        <w:t>6</w:t>
      </w:r>
      <w:r w:rsidR="00E15B25" w:rsidRPr="00740B38">
        <w:rPr>
          <w:rFonts w:ascii="Arial" w:hAnsi="Arial" w:cs="Arial"/>
          <w:b/>
          <w:color w:val="0B0C0C"/>
          <w:shd w:val="clear" w:color="auto" w:fill="FFFFFF"/>
        </w:rPr>
        <w:t>.6</w:t>
      </w:r>
      <w:r w:rsidR="00E15B25" w:rsidRPr="00740B38">
        <w:rPr>
          <w:rFonts w:ascii="Arial" w:hAnsi="Arial" w:cs="Arial"/>
          <w:b/>
          <w:color w:val="0B0C0C"/>
          <w:shd w:val="clear" w:color="auto" w:fill="FFFFFF"/>
        </w:rPr>
        <w:tab/>
      </w:r>
      <w:r w:rsidR="00E15B25" w:rsidRPr="00284E5E">
        <w:rPr>
          <w:rFonts w:ascii="Arial" w:hAnsi="Arial" w:cs="Arial"/>
          <w:b/>
          <w:bCs/>
          <w:color w:val="0B0C0C"/>
          <w:shd w:val="clear" w:color="auto" w:fill="FFFFFF"/>
        </w:rPr>
        <w:t>Disability Access Fund</w:t>
      </w:r>
    </w:p>
    <w:p w14:paraId="394BCCFB" w14:textId="77777777" w:rsidR="00E15B25" w:rsidRPr="00F869FA" w:rsidRDefault="00E15B25" w:rsidP="00E15B25">
      <w:pPr>
        <w:pStyle w:val="ListParagraph"/>
        <w:ind w:left="765" w:right="57"/>
        <w:rPr>
          <w:rFonts w:ascii="Arial" w:hAnsi="Arial" w:cs="Arial"/>
          <w:highlight w:val="yellow"/>
        </w:rPr>
      </w:pPr>
    </w:p>
    <w:p w14:paraId="2C038024" w14:textId="36348FBF" w:rsidR="00E15B25" w:rsidRPr="00284E5E" w:rsidRDefault="00E15B25" w:rsidP="00E15B25">
      <w:pPr>
        <w:ind w:right="57"/>
        <w:rPr>
          <w:rFonts w:ascii="Arial" w:hAnsi="Arial" w:cs="Arial"/>
        </w:rPr>
      </w:pPr>
      <w:r w:rsidRPr="00224BF2">
        <w:rPr>
          <w:rFonts w:ascii="Arial" w:hAnsi="Arial" w:cs="Arial"/>
        </w:rPr>
        <w:t xml:space="preserve">Finally, the Early Years Block includes a Disability Access Fund aids access to early years places.  In </w:t>
      </w:r>
      <w:r w:rsidR="00A43941" w:rsidRPr="00224BF2">
        <w:rPr>
          <w:rFonts w:ascii="Arial" w:hAnsi="Arial" w:cs="Arial"/>
        </w:rPr>
        <w:t>2023-24</w:t>
      </w:r>
      <w:r w:rsidRPr="00224BF2">
        <w:rPr>
          <w:rFonts w:ascii="Arial" w:hAnsi="Arial" w:cs="Arial"/>
        </w:rPr>
        <w:t>, early years settings are eligible for £8</w:t>
      </w:r>
      <w:r w:rsidR="0004050D" w:rsidRPr="00224BF2">
        <w:rPr>
          <w:rFonts w:ascii="Arial" w:hAnsi="Arial" w:cs="Arial"/>
        </w:rPr>
        <w:t>28</w:t>
      </w:r>
      <w:r w:rsidRPr="00224BF2">
        <w:rPr>
          <w:rFonts w:ascii="Arial" w:hAnsi="Arial" w:cs="Arial"/>
        </w:rPr>
        <w:t xml:space="preserve"> per year (increased from £</w:t>
      </w:r>
      <w:r w:rsidR="0004050D" w:rsidRPr="00224BF2">
        <w:rPr>
          <w:rFonts w:ascii="Arial" w:hAnsi="Arial" w:cs="Arial"/>
        </w:rPr>
        <w:t>800</w:t>
      </w:r>
      <w:r w:rsidRPr="00224BF2">
        <w:rPr>
          <w:rFonts w:ascii="Arial" w:hAnsi="Arial" w:cs="Arial"/>
        </w:rPr>
        <w:t xml:space="preserve"> in 202</w:t>
      </w:r>
      <w:r w:rsidR="0004050D" w:rsidRPr="00224BF2">
        <w:rPr>
          <w:rFonts w:ascii="Arial" w:hAnsi="Arial" w:cs="Arial"/>
        </w:rPr>
        <w:t>2</w:t>
      </w:r>
      <w:r w:rsidRPr="00224BF2">
        <w:rPr>
          <w:rFonts w:ascii="Arial" w:hAnsi="Arial" w:cs="Arial"/>
        </w:rPr>
        <w:t>/2</w:t>
      </w:r>
      <w:r w:rsidR="0004050D" w:rsidRPr="00224BF2">
        <w:rPr>
          <w:rFonts w:ascii="Arial" w:hAnsi="Arial" w:cs="Arial"/>
        </w:rPr>
        <w:t>3</w:t>
      </w:r>
      <w:r w:rsidRPr="00224BF2">
        <w:rPr>
          <w:rFonts w:ascii="Arial" w:hAnsi="Arial" w:cs="Arial"/>
        </w:rPr>
        <w:t>) for each child in receipt of Disability Living Allowance using February 202</w:t>
      </w:r>
      <w:r w:rsidR="0041769F" w:rsidRPr="00224BF2">
        <w:rPr>
          <w:rFonts w:ascii="Arial" w:hAnsi="Arial" w:cs="Arial"/>
        </w:rPr>
        <w:t>2</w:t>
      </w:r>
      <w:r w:rsidRPr="00224BF2">
        <w:rPr>
          <w:rFonts w:ascii="Arial" w:hAnsi="Arial" w:cs="Arial"/>
        </w:rPr>
        <w:t xml:space="preserve"> data.  The allocation for </w:t>
      </w:r>
      <w:r w:rsidR="00A43941" w:rsidRPr="00224BF2">
        <w:rPr>
          <w:rFonts w:ascii="Arial" w:hAnsi="Arial" w:cs="Arial"/>
        </w:rPr>
        <w:t>2023-24</w:t>
      </w:r>
      <w:r w:rsidRPr="00224BF2">
        <w:rPr>
          <w:rFonts w:ascii="Arial" w:hAnsi="Arial" w:cs="Arial"/>
        </w:rPr>
        <w:t xml:space="preserve"> is £0.2</w:t>
      </w:r>
      <w:r w:rsidR="00C01A36" w:rsidRPr="00224BF2">
        <w:rPr>
          <w:rFonts w:ascii="Arial" w:hAnsi="Arial" w:cs="Arial"/>
        </w:rPr>
        <w:t>76</w:t>
      </w:r>
      <w:r w:rsidRPr="00224BF2">
        <w:rPr>
          <w:rFonts w:ascii="Arial" w:hAnsi="Arial" w:cs="Arial"/>
        </w:rPr>
        <w:t>m, and this figure is not updated during the financial year</w:t>
      </w:r>
      <w:r w:rsidRPr="00284E5E">
        <w:rPr>
          <w:rFonts w:ascii="Arial" w:hAnsi="Arial" w:cs="Arial"/>
        </w:rPr>
        <w:t>.</w:t>
      </w:r>
    </w:p>
    <w:p w14:paraId="347B96F6" w14:textId="77777777" w:rsidR="00E15B25" w:rsidRPr="00740B38" w:rsidRDefault="00E15B25" w:rsidP="008B0AC5">
      <w:pPr>
        <w:rPr>
          <w:rFonts w:ascii="Arial" w:hAnsi="Arial" w:cs="Arial"/>
          <w:color w:val="0B0C0C"/>
          <w:shd w:val="clear" w:color="auto" w:fill="FFFFFF"/>
        </w:rPr>
      </w:pPr>
    </w:p>
    <w:p w14:paraId="6472915C" w14:textId="77EE3C6C" w:rsidR="008B0AC5" w:rsidRPr="00740B38" w:rsidRDefault="00CA0C3D" w:rsidP="008B0AC5">
      <w:pPr>
        <w:rPr>
          <w:rFonts w:ascii="Arial" w:hAnsi="Arial" w:cs="Arial"/>
          <w:b/>
        </w:rPr>
      </w:pPr>
      <w:r w:rsidRPr="00740B38">
        <w:rPr>
          <w:rFonts w:ascii="Arial" w:hAnsi="Arial" w:cs="Arial"/>
          <w:b/>
          <w:bCs/>
          <w:color w:val="0B0C0C"/>
          <w:shd w:val="clear" w:color="auto" w:fill="FFFFFF"/>
        </w:rPr>
        <w:t>6</w:t>
      </w:r>
      <w:r w:rsidR="008B0AC5" w:rsidRPr="00740B38">
        <w:rPr>
          <w:rFonts w:ascii="Arial" w:hAnsi="Arial" w:cs="Arial"/>
          <w:b/>
          <w:color w:val="0B0C0C"/>
          <w:shd w:val="clear" w:color="auto" w:fill="FFFFFF"/>
        </w:rPr>
        <w:t>.7</w:t>
      </w:r>
      <w:r w:rsidR="008B0AC5" w:rsidRPr="00740B38">
        <w:rPr>
          <w:rFonts w:ascii="Arial" w:hAnsi="Arial" w:cs="Arial"/>
          <w:b/>
          <w:color w:val="0B0C0C"/>
          <w:shd w:val="clear" w:color="auto" w:fill="FFFFFF"/>
        </w:rPr>
        <w:tab/>
      </w:r>
      <w:r w:rsidR="008B0AC5" w:rsidRPr="00B766F6">
        <w:rPr>
          <w:rFonts w:ascii="Arial" w:hAnsi="Arial" w:cs="Arial"/>
          <w:b/>
          <w:bCs/>
          <w:color w:val="0B0C0C"/>
          <w:shd w:val="clear" w:color="auto" w:fill="FFFFFF"/>
        </w:rPr>
        <w:t>Maintained Nursery Supplement</w:t>
      </w:r>
    </w:p>
    <w:p w14:paraId="1A3F683E" w14:textId="77777777" w:rsidR="008B0AC5" w:rsidRPr="00740B38" w:rsidRDefault="008B0AC5" w:rsidP="008B0AC5">
      <w:pPr>
        <w:rPr>
          <w:rFonts w:ascii="Arial" w:hAnsi="Arial" w:cs="Arial"/>
        </w:rPr>
      </w:pPr>
    </w:p>
    <w:p w14:paraId="0D8EC2A1" w14:textId="647963C4" w:rsidR="008B0AC5" w:rsidRPr="00B766F6" w:rsidRDefault="008B0AC5" w:rsidP="008B0AC5">
      <w:pPr>
        <w:ind w:right="57"/>
        <w:rPr>
          <w:rFonts w:ascii="Arial" w:hAnsi="Arial" w:cs="Arial"/>
        </w:rPr>
      </w:pPr>
      <w:r w:rsidRPr="00E309C3">
        <w:rPr>
          <w:rFonts w:ascii="Arial" w:hAnsi="Arial" w:cs="Arial"/>
        </w:rPr>
        <w:t>The Early Years National Funding Formula (EYNFF) places nursery schools on the same funding model as all Early Years Settings, and supplementary funding of £0.</w:t>
      </w:r>
      <w:r w:rsidR="00B91049" w:rsidRPr="00E309C3">
        <w:rPr>
          <w:rFonts w:ascii="Arial" w:hAnsi="Arial" w:cs="Arial"/>
        </w:rPr>
        <w:t>383</w:t>
      </w:r>
      <w:r w:rsidRPr="00E309C3">
        <w:rPr>
          <w:rFonts w:ascii="Arial" w:hAnsi="Arial" w:cs="Arial"/>
        </w:rPr>
        <w:t>m (increased from £0.</w:t>
      </w:r>
      <w:r w:rsidR="00E309C3" w:rsidRPr="00E309C3">
        <w:rPr>
          <w:rFonts w:ascii="Arial" w:hAnsi="Arial" w:cs="Arial"/>
        </w:rPr>
        <w:t>268</w:t>
      </w:r>
      <w:r w:rsidRPr="00E309C3">
        <w:rPr>
          <w:rFonts w:ascii="Arial" w:hAnsi="Arial" w:cs="Arial"/>
        </w:rPr>
        <w:t>m in 202</w:t>
      </w:r>
      <w:r w:rsidR="00E309C3" w:rsidRPr="00E309C3">
        <w:rPr>
          <w:rFonts w:ascii="Arial" w:hAnsi="Arial" w:cs="Arial"/>
        </w:rPr>
        <w:t>2</w:t>
      </w:r>
      <w:r w:rsidRPr="00E309C3">
        <w:rPr>
          <w:rFonts w:ascii="Arial" w:hAnsi="Arial" w:cs="Arial"/>
        </w:rPr>
        <w:t>/2</w:t>
      </w:r>
      <w:r w:rsidR="00E309C3" w:rsidRPr="00E309C3">
        <w:rPr>
          <w:rFonts w:ascii="Arial" w:hAnsi="Arial" w:cs="Arial"/>
        </w:rPr>
        <w:t>3</w:t>
      </w:r>
      <w:r w:rsidRPr="00E309C3">
        <w:rPr>
          <w:rFonts w:ascii="Arial" w:hAnsi="Arial" w:cs="Arial"/>
        </w:rPr>
        <w:t>) has</w:t>
      </w:r>
      <w:r w:rsidRPr="00B766F6">
        <w:rPr>
          <w:rFonts w:ascii="Arial" w:hAnsi="Arial" w:cs="Arial"/>
        </w:rPr>
        <w:t xml:space="preserve"> been provided to continue to protect fixed sums that the 3 Nursery Schools in Norfolk receive. The increase</w:t>
      </w:r>
      <w:r w:rsidR="00043F2F">
        <w:rPr>
          <w:rFonts w:ascii="Arial" w:hAnsi="Arial" w:cs="Arial"/>
        </w:rPr>
        <w:t xml:space="preserve"> is based on</w:t>
      </w:r>
      <w:r w:rsidRPr="00B766F6">
        <w:rPr>
          <w:rFonts w:ascii="Arial" w:hAnsi="Arial" w:cs="Arial"/>
        </w:rPr>
        <w:t xml:space="preserve"> a </w:t>
      </w:r>
      <w:r w:rsidRPr="00740B38">
        <w:rPr>
          <w:rFonts w:ascii="Arial" w:hAnsi="Arial" w:cs="Arial"/>
        </w:rPr>
        <w:t>£0.</w:t>
      </w:r>
      <w:r w:rsidR="003F2E3C" w:rsidRPr="00740B38">
        <w:rPr>
          <w:rFonts w:ascii="Arial" w:hAnsi="Arial" w:cs="Arial"/>
        </w:rPr>
        <w:t>6</w:t>
      </w:r>
      <w:r w:rsidR="00357079" w:rsidRPr="00740B38">
        <w:rPr>
          <w:rFonts w:ascii="Arial" w:hAnsi="Arial" w:cs="Arial"/>
        </w:rPr>
        <w:t>1</w:t>
      </w:r>
      <w:r w:rsidRPr="00740B38">
        <w:rPr>
          <w:rFonts w:ascii="Arial" w:hAnsi="Arial" w:cs="Arial"/>
        </w:rPr>
        <w:t xml:space="preserve">/hr </w:t>
      </w:r>
      <w:r w:rsidRPr="00B766F6">
        <w:rPr>
          <w:rFonts w:ascii="Arial" w:hAnsi="Arial" w:cs="Arial"/>
        </w:rPr>
        <w:t>uplift to the supplementary funding rate</w:t>
      </w:r>
      <w:r w:rsidR="00CE202C" w:rsidRPr="00740B38">
        <w:rPr>
          <w:rFonts w:ascii="Arial" w:hAnsi="Arial" w:cs="Arial"/>
        </w:rPr>
        <w:t xml:space="preserve"> and includes a further £0.53/hr to cover the costs of</w:t>
      </w:r>
      <w:r w:rsidR="00CE202C">
        <w:rPr>
          <w:rFonts w:ascii="Arial" w:hAnsi="Arial" w:cs="Arial"/>
        </w:rPr>
        <w:t xml:space="preserve"> Teacher’s Pay and Pension </w:t>
      </w:r>
      <w:r w:rsidR="00740B38">
        <w:rPr>
          <w:rFonts w:ascii="Arial" w:hAnsi="Arial" w:cs="Arial"/>
        </w:rPr>
        <w:t>Grants both previously separately paid to the schools</w:t>
      </w:r>
      <w:r w:rsidRPr="00B766F6">
        <w:rPr>
          <w:rFonts w:ascii="Arial" w:hAnsi="Arial" w:cs="Arial"/>
        </w:rPr>
        <w:t>.  The fixed sums fund the higher overheads and cost of qualified teaching staff in a Nursery School.</w:t>
      </w:r>
    </w:p>
    <w:p w14:paraId="38CD657E" w14:textId="77777777" w:rsidR="008B0AC5" w:rsidRPr="00F869FA" w:rsidRDefault="008B0AC5" w:rsidP="008B0AC5">
      <w:pPr>
        <w:ind w:right="57"/>
        <w:rPr>
          <w:rFonts w:ascii="Arial" w:hAnsi="Arial" w:cs="Arial"/>
          <w:highlight w:val="yellow"/>
        </w:rPr>
      </w:pPr>
    </w:p>
    <w:p w14:paraId="27EF632D" w14:textId="77777777" w:rsidR="00862A3C" w:rsidRDefault="008B0AC5" w:rsidP="00862A3C">
      <w:pPr>
        <w:pStyle w:val="paragraph"/>
        <w:spacing w:before="0" w:beforeAutospacing="0" w:after="0" w:afterAutospacing="0"/>
        <w:textAlignment w:val="baseline"/>
        <w:rPr>
          <w:rStyle w:val="eop"/>
          <w:rFonts w:ascii="Arial" w:hAnsi="Arial" w:cs="Arial"/>
        </w:rPr>
      </w:pPr>
      <w:r w:rsidRPr="00B766F6">
        <w:rPr>
          <w:rFonts w:ascii="Arial" w:hAnsi="Arial" w:cs="Arial"/>
        </w:rPr>
        <w:t xml:space="preserve">In addition to the Maintained Nursery Supplement (MNS) provided to nursery schools by the DfE, the LA currently provides additional protection to the schools to meet the remainder of the fixed sums that were paid to nursery schools prior to the introduction of the Early Years National Funding Formula (less a reduction of 1.5% per year previously agreed for transition).  </w:t>
      </w:r>
      <w:r w:rsidR="00862A3C">
        <w:rPr>
          <w:rStyle w:val="normaltextrun"/>
          <w:rFonts w:ascii="Arial" w:hAnsi="Arial" w:cs="Arial"/>
        </w:rPr>
        <w:t>The combined total level of protection in 2022-23 for nursery schools is currently £365,342 made up of £268,413 for MNS from DfE and £96,929 additional protection provided by the LA from EY Block.</w:t>
      </w:r>
      <w:r w:rsidR="00862A3C">
        <w:rPr>
          <w:rStyle w:val="eop"/>
          <w:rFonts w:ascii="Arial" w:hAnsi="Arial" w:cs="Arial"/>
        </w:rPr>
        <w:t> </w:t>
      </w:r>
    </w:p>
    <w:p w14:paraId="0C684224" w14:textId="77777777" w:rsidR="00862A3C" w:rsidRDefault="00862A3C" w:rsidP="00862A3C">
      <w:pPr>
        <w:pStyle w:val="paragraph"/>
        <w:spacing w:before="0" w:beforeAutospacing="0" w:after="0" w:afterAutospacing="0"/>
        <w:textAlignment w:val="baseline"/>
        <w:rPr>
          <w:rFonts w:ascii="Segoe UI" w:hAnsi="Segoe UI" w:cs="Segoe UI"/>
          <w:sz w:val="18"/>
          <w:szCs w:val="18"/>
        </w:rPr>
      </w:pPr>
    </w:p>
    <w:p w14:paraId="25BC6B26" w14:textId="77777777" w:rsidR="00862A3C" w:rsidRDefault="00862A3C" w:rsidP="00862A3C">
      <w:pPr>
        <w:pStyle w:val="paragraph"/>
        <w:spacing w:before="0" w:beforeAutospacing="0" w:after="0" w:afterAutospacing="0"/>
        <w:textAlignment w:val="baseline"/>
        <w:rPr>
          <w:rStyle w:val="eop"/>
          <w:rFonts w:ascii="Arial" w:hAnsi="Arial" w:cs="Arial"/>
        </w:rPr>
      </w:pPr>
      <w:r>
        <w:rPr>
          <w:rStyle w:val="normaltextrun"/>
          <w:rFonts w:ascii="Arial" w:hAnsi="Arial" w:cs="Arial"/>
        </w:rPr>
        <w:t>On the basis that</w:t>
      </w:r>
      <w:r w:rsidR="008B0AC5">
        <w:rPr>
          <w:rStyle w:val="normaltextrun"/>
          <w:rFonts w:ascii="Arial" w:hAnsi="Arial" w:cs="Arial"/>
        </w:rPr>
        <w:t xml:space="preserve"> the total protection </w:t>
      </w:r>
      <w:r>
        <w:rPr>
          <w:rStyle w:val="normaltextrun"/>
          <w:rFonts w:ascii="Arial" w:hAnsi="Arial" w:cs="Arial"/>
        </w:rPr>
        <w:t xml:space="preserve">continues to be reduced </w:t>
      </w:r>
      <w:r w:rsidR="008B0AC5">
        <w:rPr>
          <w:rStyle w:val="normaltextrun"/>
          <w:rFonts w:ascii="Arial" w:hAnsi="Arial" w:cs="Arial"/>
        </w:rPr>
        <w:t xml:space="preserve">by 1.5%, the new total protection required for </w:t>
      </w:r>
      <w:r w:rsidR="00A43941">
        <w:rPr>
          <w:rStyle w:val="normaltextrun"/>
          <w:rFonts w:ascii="Arial" w:hAnsi="Arial" w:cs="Arial"/>
        </w:rPr>
        <w:t>2023-24</w:t>
      </w:r>
      <w:r w:rsidR="008B0AC5">
        <w:rPr>
          <w:rStyle w:val="normaltextrun"/>
          <w:rFonts w:ascii="Arial" w:hAnsi="Arial" w:cs="Arial"/>
        </w:rPr>
        <w:t xml:space="preserve"> would be £</w:t>
      </w:r>
      <w:r>
        <w:rPr>
          <w:rStyle w:val="normaltextrun"/>
          <w:rFonts w:ascii="Arial" w:hAnsi="Arial" w:cs="Arial"/>
        </w:rPr>
        <w:t xml:space="preserve">359,862 </w:t>
      </w:r>
      <w:r w:rsidR="008B0AC5">
        <w:rPr>
          <w:rStyle w:val="normaltextrun"/>
          <w:rFonts w:ascii="Arial" w:hAnsi="Arial" w:cs="Arial"/>
        </w:rPr>
        <w:t>which would be funded by £</w:t>
      </w:r>
      <w:r>
        <w:rPr>
          <w:rStyle w:val="normaltextrun"/>
          <w:rFonts w:ascii="Arial" w:hAnsi="Arial" w:cs="Arial"/>
        </w:rPr>
        <w:t>329,966</w:t>
      </w:r>
      <w:r w:rsidR="008B0AC5">
        <w:rPr>
          <w:rStyle w:val="normaltextrun"/>
          <w:rFonts w:ascii="Arial" w:hAnsi="Arial" w:cs="Arial"/>
        </w:rPr>
        <w:t xml:space="preserve"> for MNS from DfE </w:t>
      </w:r>
      <w:r>
        <w:rPr>
          <w:rStyle w:val="normaltextrun"/>
          <w:rFonts w:ascii="Arial" w:hAnsi="Arial" w:cs="Arial"/>
        </w:rPr>
        <w:t xml:space="preserve">(excluding the newly allocated TPG/TPECG element) </w:t>
      </w:r>
      <w:r w:rsidR="008B0AC5">
        <w:rPr>
          <w:rStyle w:val="normaltextrun"/>
          <w:rFonts w:ascii="Arial" w:hAnsi="Arial" w:cs="Arial"/>
        </w:rPr>
        <w:t xml:space="preserve">and </w:t>
      </w:r>
      <w:r w:rsidR="008B0AC5" w:rsidRPr="00862A3C">
        <w:rPr>
          <w:rStyle w:val="normaltextrun"/>
          <w:rFonts w:ascii="Arial" w:hAnsi="Arial" w:cs="Arial"/>
          <w:b/>
        </w:rPr>
        <w:t>£</w:t>
      </w:r>
      <w:r w:rsidRPr="00862A3C">
        <w:rPr>
          <w:rStyle w:val="normaltextrun"/>
          <w:rFonts w:ascii="Arial" w:hAnsi="Arial" w:cs="Arial"/>
          <w:b/>
          <w:bCs/>
        </w:rPr>
        <w:t>29,896</w:t>
      </w:r>
      <w:r w:rsidR="008B0AC5" w:rsidRPr="00862A3C">
        <w:rPr>
          <w:rStyle w:val="normaltextrun"/>
          <w:rFonts w:ascii="Arial" w:hAnsi="Arial" w:cs="Arial"/>
          <w:b/>
        </w:rPr>
        <w:t xml:space="preserve"> </w:t>
      </w:r>
      <w:r w:rsidR="008B0AC5">
        <w:rPr>
          <w:rStyle w:val="normaltextrun"/>
          <w:rFonts w:ascii="Arial" w:hAnsi="Arial" w:cs="Arial"/>
        </w:rPr>
        <w:t xml:space="preserve">additional protection provided </w:t>
      </w:r>
      <w:r>
        <w:rPr>
          <w:rStyle w:val="normaltextrun"/>
          <w:rFonts w:ascii="Arial" w:hAnsi="Arial" w:cs="Arial"/>
        </w:rPr>
        <w:t xml:space="preserve">through </w:t>
      </w:r>
      <w:r w:rsidR="008B0AC5">
        <w:rPr>
          <w:rStyle w:val="normaltextrun"/>
          <w:rFonts w:ascii="Arial" w:hAnsi="Arial" w:cs="Arial"/>
        </w:rPr>
        <w:t>the EY Block.</w:t>
      </w:r>
      <w:r>
        <w:rPr>
          <w:rStyle w:val="normaltextrun"/>
          <w:rFonts w:ascii="Arial" w:hAnsi="Arial" w:cs="Arial"/>
        </w:rPr>
        <w:t>  </w:t>
      </w:r>
      <w:r>
        <w:rPr>
          <w:rStyle w:val="eop"/>
          <w:rFonts w:ascii="Arial" w:hAnsi="Arial" w:cs="Arial"/>
        </w:rPr>
        <w:t> </w:t>
      </w:r>
    </w:p>
    <w:p w14:paraId="137ED2E9" w14:textId="77777777" w:rsidR="00862A3C" w:rsidRDefault="00862A3C" w:rsidP="00862A3C">
      <w:pPr>
        <w:pStyle w:val="paragraph"/>
        <w:spacing w:before="0" w:beforeAutospacing="0" w:after="0" w:afterAutospacing="0"/>
        <w:textAlignment w:val="baseline"/>
        <w:rPr>
          <w:rFonts w:ascii="Segoe UI" w:hAnsi="Segoe UI" w:cs="Segoe UI"/>
          <w:sz w:val="18"/>
          <w:szCs w:val="18"/>
        </w:rPr>
      </w:pPr>
    </w:p>
    <w:p w14:paraId="48675451" w14:textId="77777777" w:rsidR="00862A3C" w:rsidRDefault="00862A3C" w:rsidP="00862A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addition, TPG/TPECG funding of £53,481 would be allocated, received from DfE as part of 2023-24 MNS allocation.  Schools Forum will be asked to comment on the proposal to provide additional protection to maintained nursery schools at this rate at their January Schools Forum Meeting.   </w:t>
      </w:r>
      <w:r>
        <w:rPr>
          <w:rStyle w:val="eop"/>
          <w:rFonts w:ascii="Arial" w:hAnsi="Arial" w:cs="Arial"/>
        </w:rPr>
        <w:t> </w:t>
      </w:r>
    </w:p>
    <w:p w14:paraId="39481918" w14:textId="3F1A7427" w:rsidR="008B0AC5" w:rsidRPr="00F869FA" w:rsidRDefault="008B0AC5" w:rsidP="008B0AC5">
      <w:pPr>
        <w:ind w:right="57"/>
        <w:rPr>
          <w:rFonts w:ascii="Arial" w:hAnsi="Arial" w:cs="Arial"/>
          <w:highlight w:val="yellow"/>
        </w:rPr>
      </w:pPr>
    </w:p>
    <w:p w14:paraId="1DF78038" w14:textId="77777777" w:rsidR="008B0AC5" w:rsidRPr="00F869FA" w:rsidRDefault="008B0AC5" w:rsidP="008B0AC5">
      <w:pPr>
        <w:ind w:right="57"/>
        <w:rPr>
          <w:rFonts w:ascii="Arial" w:hAnsi="Arial" w:cs="Arial"/>
          <w:highlight w:val="yellow"/>
        </w:rPr>
      </w:pPr>
    </w:p>
    <w:p w14:paraId="7DBAB1BE" w14:textId="77777777" w:rsidR="00D901AB" w:rsidRPr="00B766F6" w:rsidRDefault="00D901AB" w:rsidP="00D901AB">
      <w:pPr>
        <w:rPr>
          <w:rFonts w:ascii="Arial" w:hAnsi="Arial" w:cs="Arial"/>
          <w:b/>
          <w:color w:val="1F4E79" w:themeColor="accent5" w:themeShade="80"/>
          <w:szCs w:val="20"/>
        </w:rPr>
      </w:pPr>
      <w:r w:rsidRPr="00B766F6">
        <w:rPr>
          <w:rFonts w:ascii="Arial" w:hAnsi="Arial" w:cs="Arial"/>
          <w:b/>
          <w:color w:val="1F4E79" w:themeColor="accent5" w:themeShade="80"/>
          <w:szCs w:val="20"/>
        </w:rPr>
        <w:t xml:space="preserve">Schools Forum is asked to:  </w:t>
      </w:r>
    </w:p>
    <w:p w14:paraId="7E41C33A" w14:textId="77777777" w:rsidR="00D901AB" w:rsidRPr="00B766F6" w:rsidRDefault="00D901AB" w:rsidP="00D901AB">
      <w:pPr>
        <w:rPr>
          <w:rFonts w:ascii="Arial" w:hAnsi="Arial" w:cs="Arial"/>
          <w:b/>
          <w:color w:val="1F4E79" w:themeColor="accent5" w:themeShade="80"/>
          <w:szCs w:val="20"/>
        </w:rPr>
      </w:pPr>
    </w:p>
    <w:p w14:paraId="78F8D971" w14:textId="35BC73F8" w:rsidR="00D901AB" w:rsidRPr="009240DE" w:rsidRDefault="00D901AB" w:rsidP="004C03AF">
      <w:pPr>
        <w:pStyle w:val="ListParagraph"/>
        <w:numPr>
          <w:ilvl w:val="0"/>
          <w:numId w:val="23"/>
        </w:numPr>
        <w:ind w:right="57"/>
        <w:rPr>
          <w:rFonts w:ascii="Arial" w:hAnsi="Arial" w:cs="Arial"/>
          <w:color w:val="1F4E79" w:themeColor="accent5" w:themeShade="80"/>
        </w:rPr>
      </w:pPr>
      <w:r w:rsidRPr="009240DE">
        <w:rPr>
          <w:rFonts w:ascii="Arial" w:hAnsi="Arial" w:cs="Arial"/>
          <w:b/>
          <w:color w:val="1F4E79" w:themeColor="accent5" w:themeShade="80"/>
          <w:szCs w:val="20"/>
        </w:rPr>
        <w:t>Note the</w:t>
      </w:r>
      <w:r w:rsidR="008D1339" w:rsidRPr="009240DE">
        <w:rPr>
          <w:rFonts w:ascii="Arial" w:hAnsi="Arial" w:cs="Arial"/>
          <w:b/>
          <w:color w:val="1F4E79" w:themeColor="accent5" w:themeShade="80"/>
          <w:szCs w:val="20"/>
        </w:rPr>
        <w:t xml:space="preserve"> Maintained Nursery Supplement provide</w:t>
      </w:r>
      <w:r w:rsidR="00C7521E" w:rsidRPr="009240DE">
        <w:rPr>
          <w:rFonts w:ascii="Arial" w:hAnsi="Arial" w:cs="Arial"/>
          <w:b/>
          <w:color w:val="1F4E79" w:themeColor="accent5" w:themeShade="80"/>
          <w:szCs w:val="20"/>
        </w:rPr>
        <w:t>d</w:t>
      </w:r>
      <w:r w:rsidR="008D1339" w:rsidRPr="009240DE">
        <w:rPr>
          <w:rFonts w:ascii="Arial" w:hAnsi="Arial" w:cs="Arial"/>
          <w:b/>
          <w:color w:val="1F4E79" w:themeColor="accent5" w:themeShade="80"/>
          <w:szCs w:val="20"/>
        </w:rPr>
        <w:t xml:space="preserve"> by the DSG and </w:t>
      </w:r>
      <w:r w:rsidR="003746A3" w:rsidRPr="009240DE">
        <w:rPr>
          <w:rFonts w:ascii="Arial" w:hAnsi="Arial" w:cs="Arial"/>
          <w:b/>
          <w:color w:val="1F4E79" w:themeColor="accent5" w:themeShade="80"/>
          <w:szCs w:val="20"/>
        </w:rPr>
        <w:t xml:space="preserve">recommend </w:t>
      </w:r>
      <w:r w:rsidR="008D1339" w:rsidRPr="009240DE">
        <w:rPr>
          <w:rFonts w:ascii="Arial" w:hAnsi="Arial" w:cs="Arial"/>
          <w:b/>
          <w:color w:val="1F4E79" w:themeColor="accent5" w:themeShade="80"/>
          <w:szCs w:val="20"/>
        </w:rPr>
        <w:t xml:space="preserve">the </w:t>
      </w:r>
      <w:r w:rsidR="00321CF8" w:rsidRPr="009240DE">
        <w:rPr>
          <w:rFonts w:ascii="Arial" w:hAnsi="Arial" w:cs="Arial"/>
          <w:b/>
          <w:color w:val="1F4E79" w:themeColor="accent5" w:themeShade="80"/>
          <w:szCs w:val="20"/>
        </w:rPr>
        <w:t>proposal to continue to provide additional protection</w:t>
      </w:r>
      <w:r w:rsidR="004E6ECD" w:rsidRPr="009240DE">
        <w:rPr>
          <w:rFonts w:ascii="Arial" w:hAnsi="Arial" w:cs="Arial"/>
          <w:b/>
          <w:color w:val="1F4E79" w:themeColor="accent5" w:themeShade="80"/>
          <w:szCs w:val="20"/>
        </w:rPr>
        <w:t xml:space="preserve"> (£</w:t>
      </w:r>
      <w:r w:rsidR="00862A3C" w:rsidRPr="009240DE">
        <w:rPr>
          <w:rFonts w:ascii="Arial" w:hAnsi="Arial" w:cs="Arial"/>
          <w:b/>
          <w:color w:val="1F4E79" w:themeColor="accent5" w:themeShade="80"/>
          <w:szCs w:val="20"/>
        </w:rPr>
        <w:t>29,896</w:t>
      </w:r>
      <w:r w:rsidR="004E6ECD" w:rsidRPr="009240DE">
        <w:rPr>
          <w:rFonts w:ascii="Arial" w:hAnsi="Arial" w:cs="Arial"/>
          <w:b/>
          <w:color w:val="1F4E79" w:themeColor="accent5" w:themeShade="80"/>
          <w:szCs w:val="20"/>
        </w:rPr>
        <w:t xml:space="preserve"> for </w:t>
      </w:r>
      <w:r w:rsidR="00A43941" w:rsidRPr="009240DE">
        <w:rPr>
          <w:rFonts w:ascii="Arial" w:hAnsi="Arial" w:cs="Arial"/>
          <w:b/>
          <w:color w:val="1F4E79" w:themeColor="accent5" w:themeShade="80"/>
          <w:szCs w:val="20"/>
        </w:rPr>
        <w:t>2023-24</w:t>
      </w:r>
      <w:r w:rsidR="004E6ECD" w:rsidRPr="009240DE">
        <w:rPr>
          <w:rFonts w:ascii="Arial" w:hAnsi="Arial" w:cs="Arial"/>
          <w:b/>
          <w:color w:val="1F4E79" w:themeColor="accent5" w:themeShade="80"/>
          <w:szCs w:val="20"/>
        </w:rPr>
        <w:t>)</w:t>
      </w:r>
      <w:r w:rsidR="00321CF8" w:rsidRPr="009240DE">
        <w:rPr>
          <w:rFonts w:ascii="Arial" w:hAnsi="Arial" w:cs="Arial"/>
          <w:b/>
          <w:color w:val="1F4E79" w:themeColor="accent5" w:themeShade="80"/>
          <w:szCs w:val="20"/>
        </w:rPr>
        <w:t xml:space="preserve"> from the EY Block</w:t>
      </w:r>
    </w:p>
    <w:p w14:paraId="46C21148" w14:textId="77777777" w:rsidR="008B0AC5" w:rsidRPr="00F869FA" w:rsidRDefault="008B0AC5" w:rsidP="008B0AC5">
      <w:pPr>
        <w:pStyle w:val="ListParagraph"/>
        <w:ind w:left="765" w:right="57"/>
        <w:rPr>
          <w:rFonts w:ascii="Arial" w:hAnsi="Arial" w:cs="Arial"/>
          <w:highlight w:val="yellow"/>
        </w:rPr>
      </w:pPr>
    </w:p>
    <w:p w14:paraId="37480E1B" w14:textId="6251F880" w:rsidR="008B0AC5" w:rsidRPr="00F869FA" w:rsidRDefault="008B0AC5" w:rsidP="00637010">
      <w:pPr>
        <w:rPr>
          <w:rFonts w:ascii="Arial" w:hAnsi="Arial" w:cs="Arial"/>
          <w:b/>
          <w:sz w:val="28"/>
          <w:szCs w:val="28"/>
          <w:highlight w:val="yellow"/>
        </w:rPr>
      </w:pPr>
    </w:p>
    <w:p w14:paraId="21577D8F" w14:textId="16507FF9" w:rsidR="007977BF" w:rsidRPr="00C27914" w:rsidRDefault="00740B38" w:rsidP="007977BF">
      <w:pPr>
        <w:pStyle w:val="ListParagraph"/>
        <w:ind w:left="0"/>
        <w:rPr>
          <w:rFonts w:ascii="Arial" w:hAnsi="Arial" w:cs="Arial"/>
          <w:b/>
          <w:bCs/>
        </w:rPr>
      </w:pPr>
      <w:r>
        <w:rPr>
          <w:rFonts w:ascii="Arial" w:hAnsi="Arial" w:cs="Arial"/>
          <w:b/>
          <w:bCs/>
        </w:rPr>
        <w:t>6</w:t>
      </w:r>
      <w:r w:rsidR="007977BF" w:rsidRPr="00862A3C">
        <w:rPr>
          <w:rFonts w:ascii="Arial" w:hAnsi="Arial" w:cs="Arial"/>
          <w:b/>
        </w:rPr>
        <w:t>.</w:t>
      </w:r>
      <w:r w:rsidR="00E15B25" w:rsidRPr="00862A3C">
        <w:rPr>
          <w:rFonts w:ascii="Arial" w:hAnsi="Arial" w:cs="Arial"/>
          <w:b/>
        </w:rPr>
        <w:t>8</w:t>
      </w:r>
      <w:r w:rsidR="007977BF" w:rsidRPr="00862A3C">
        <w:rPr>
          <w:rFonts w:ascii="Arial" w:hAnsi="Arial" w:cs="Arial"/>
          <w:b/>
        </w:rPr>
        <w:t xml:space="preserve"> </w:t>
      </w:r>
      <w:r w:rsidR="007977BF" w:rsidRPr="00862A3C">
        <w:rPr>
          <w:rFonts w:ascii="Arial" w:hAnsi="Arial" w:cs="Arial"/>
          <w:b/>
        </w:rPr>
        <w:tab/>
      </w:r>
      <w:r w:rsidR="007977BF" w:rsidRPr="00C27914">
        <w:rPr>
          <w:rFonts w:ascii="Arial" w:hAnsi="Arial" w:cs="Arial"/>
          <w:b/>
          <w:bCs/>
        </w:rPr>
        <w:t>EY Pass-Through/Central Services</w:t>
      </w:r>
    </w:p>
    <w:p w14:paraId="3478AC4B" w14:textId="77777777" w:rsidR="007977BF" w:rsidRPr="00F869FA" w:rsidRDefault="007977BF" w:rsidP="007977BF">
      <w:pPr>
        <w:ind w:left="360"/>
        <w:rPr>
          <w:rFonts w:ascii="Arial" w:hAnsi="Arial" w:cs="Arial"/>
          <w:highlight w:val="yellow"/>
        </w:rPr>
      </w:pPr>
    </w:p>
    <w:p w14:paraId="14768ED1" w14:textId="38DFBFCD" w:rsidR="007977BF" w:rsidRPr="00F869FA" w:rsidRDefault="007977BF" w:rsidP="007977BF">
      <w:pPr>
        <w:rPr>
          <w:rFonts w:ascii="Arial" w:hAnsi="Arial" w:cs="Arial"/>
          <w:bCs/>
          <w:highlight w:val="yellow"/>
        </w:rPr>
      </w:pPr>
      <w:r w:rsidRPr="00C27914">
        <w:rPr>
          <w:rFonts w:ascii="Arial" w:hAnsi="Arial" w:cs="Arial"/>
          <w:bCs/>
        </w:rPr>
        <w:t xml:space="preserve">Based on the </w:t>
      </w:r>
      <w:r w:rsidR="00A43941">
        <w:rPr>
          <w:rFonts w:ascii="Arial" w:hAnsi="Arial" w:cs="Arial"/>
          <w:bCs/>
        </w:rPr>
        <w:t>2023-24</w:t>
      </w:r>
      <w:r w:rsidRPr="00C27914">
        <w:rPr>
          <w:rFonts w:ascii="Arial" w:hAnsi="Arial" w:cs="Arial"/>
          <w:bCs/>
        </w:rPr>
        <w:t xml:space="preserve"> published DSG allocations, the upper limit of the 5% of total 3- and 4-year-old funding that can be retained centrally by the LA will </w:t>
      </w:r>
      <w:r w:rsidRPr="00BA70E7">
        <w:rPr>
          <w:rFonts w:ascii="Arial" w:hAnsi="Arial" w:cs="Arial"/>
          <w:bCs/>
        </w:rPr>
        <w:t>be £</w:t>
      </w:r>
      <w:r w:rsidR="00E03C2E" w:rsidRPr="00BA70E7">
        <w:rPr>
          <w:rFonts w:ascii="Arial" w:hAnsi="Arial" w:cs="Arial"/>
          <w:bCs/>
        </w:rPr>
        <w:t>2,052,323</w:t>
      </w:r>
      <w:r w:rsidRPr="00BA70E7">
        <w:rPr>
          <w:rFonts w:ascii="Arial" w:hAnsi="Arial" w:cs="Arial"/>
          <w:bCs/>
        </w:rPr>
        <w:t xml:space="preserve">.  </w:t>
      </w:r>
      <w:r w:rsidRPr="00C27914">
        <w:rPr>
          <w:rFonts w:ascii="Arial" w:hAnsi="Arial" w:cs="Arial"/>
          <w:bCs/>
        </w:rPr>
        <w:t xml:space="preserve">Schools </w:t>
      </w:r>
      <w:r w:rsidRPr="00C27914">
        <w:rPr>
          <w:rFonts w:ascii="Arial" w:hAnsi="Arial" w:cs="Arial"/>
          <w:bCs/>
        </w:rPr>
        <w:lastRenderedPageBreak/>
        <w:t xml:space="preserve">Forum will be asked to vote on retention of the 5% for </w:t>
      </w:r>
      <w:r w:rsidR="00A43941">
        <w:rPr>
          <w:rFonts w:ascii="Arial" w:hAnsi="Arial" w:cs="Arial"/>
          <w:bCs/>
        </w:rPr>
        <w:t>2023-24</w:t>
      </w:r>
      <w:r w:rsidRPr="00C27914">
        <w:rPr>
          <w:rFonts w:ascii="Arial" w:hAnsi="Arial" w:cs="Arial"/>
          <w:bCs/>
        </w:rPr>
        <w:t xml:space="preserve"> so that the Local Authority will continue to use this funding to provide central support and administer payments to all providers of Early Years Education, in schools and in private, voluntary and independent settings.</w:t>
      </w:r>
    </w:p>
    <w:p w14:paraId="2351AC0A" w14:textId="77777777" w:rsidR="007977BF" w:rsidRDefault="007977BF" w:rsidP="007977BF">
      <w:pPr>
        <w:rPr>
          <w:rFonts w:ascii="Arial" w:hAnsi="Arial" w:cs="Arial"/>
          <w:bCs/>
          <w:highlight w:val="yellow"/>
        </w:rPr>
      </w:pPr>
    </w:p>
    <w:p w14:paraId="419A86C1" w14:textId="58CCA507" w:rsidR="00616AE4" w:rsidRDefault="00616AE4" w:rsidP="007977BF">
      <w:pPr>
        <w:rPr>
          <w:rFonts w:ascii="Arial" w:hAnsi="Arial" w:cs="Arial"/>
          <w:bCs/>
          <w:highlight w:val="yellow"/>
        </w:rPr>
      </w:pPr>
      <w:r w:rsidRPr="00D86E1C">
        <w:rPr>
          <w:rFonts w:ascii="Arial" w:hAnsi="Arial" w:cs="Arial"/>
          <w:bCs/>
        </w:rPr>
        <w:t>NCC are under significant financial pressure</w:t>
      </w:r>
      <w:r w:rsidR="003E6C97" w:rsidRPr="00D86E1C">
        <w:rPr>
          <w:rFonts w:ascii="Arial" w:hAnsi="Arial" w:cs="Arial"/>
          <w:bCs/>
        </w:rPr>
        <w:t xml:space="preserve">, as are all local authorities, </w:t>
      </w:r>
      <w:r w:rsidR="00AA1692" w:rsidRPr="00D86E1C">
        <w:rPr>
          <w:rFonts w:ascii="Arial" w:hAnsi="Arial" w:cs="Arial"/>
          <w:bCs/>
        </w:rPr>
        <w:t xml:space="preserve">particularly </w:t>
      </w:r>
      <w:r w:rsidR="003E6C97" w:rsidRPr="00D86E1C">
        <w:rPr>
          <w:rFonts w:ascii="Arial" w:hAnsi="Arial" w:cs="Arial"/>
          <w:bCs/>
        </w:rPr>
        <w:t>all areas of discretionary spend</w:t>
      </w:r>
      <w:r w:rsidR="00AA1692" w:rsidRPr="00D86E1C">
        <w:rPr>
          <w:rFonts w:ascii="Arial" w:hAnsi="Arial" w:cs="Arial"/>
          <w:bCs/>
        </w:rPr>
        <w:t xml:space="preserve">. </w:t>
      </w:r>
      <w:r w:rsidR="00D76663" w:rsidRPr="00D86E1C">
        <w:rPr>
          <w:rFonts w:ascii="Arial" w:hAnsi="Arial" w:cs="Arial"/>
          <w:bCs/>
        </w:rPr>
        <w:t xml:space="preserve"> </w:t>
      </w:r>
      <w:r w:rsidR="00023D65" w:rsidRPr="00D86E1C">
        <w:rPr>
          <w:rFonts w:ascii="Arial" w:hAnsi="Arial" w:cs="Arial"/>
          <w:bCs/>
        </w:rPr>
        <w:t xml:space="preserve">Demand on service support for inclusion, meeting SEND and communication needs and </w:t>
      </w:r>
      <w:r w:rsidR="00974A40" w:rsidRPr="00D86E1C">
        <w:rPr>
          <w:rFonts w:ascii="Arial" w:hAnsi="Arial" w:cs="Arial"/>
          <w:bCs/>
        </w:rPr>
        <w:t xml:space="preserve">the </w:t>
      </w:r>
      <w:r w:rsidR="00023D65" w:rsidRPr="00D86E1C">
        <w:rPr>
          <w:rFonts w:ascii="Arial" w:hAnsi="Arial" w:cs="Arial"/>
          <w:bCs/>
        </w:rPr>
        <w:t xml:space="preserve">sustainability </w:t>
      </w:r>
      <w:r w:rsidR="00974A40" w:rsidRPr="00D86E1C">
        <w:rPr>
          <w:rFonts w:ascii="Arial" w:hAnsi="Arial" w:cs="Arial"/>
          <w:bCs/>
        </w:rPr>
        <w:t>of providers</w:t>
      </w:r>
      <w:r w:rsidR="00023D65" w:rsidRPr="00D86E1C">
        <w:rPr>
          <w:rFonts w:ascii="Arial" w:hAnsi="Arial" w:cs="Arial"/>
          <w:bCs/>
        </w:rPr>
        <w:t xml:space="preserve"> is high.  </w:t>
      </w:r>
      <w:r w:rsidR="003F06F5" w:rsidRPr="00D86E1C">
        <w:rPr>
          <w:rFonts w:ascii="Arial" w:hAnsi="Arial" w:cs="Arial"/>
          <w:bCs/>
        </w:rPr>
        <w:t>Service provision to the whole Early Years sector will need to be reviewed and, potentially, reduced i</w:t>
      </w:r>
      <w:r w:rsidR="00AA1692" w:rsidRPr="00D86E1C">
        <w:rPr>
          <w:rFonts w:ascii="Arial" w:hAnsi="Arial" w:cs="Arial"/>
          <w:bCs/>
        </w:rPr>
        <w:t xml:space="preserve">f the 5% transfer is not supported </w:t>
      </w:r>
      <w:r w:rsidR="003F06F5" w:rsidRPr="00D86E1C">
        <w:rPr>
          <w:rFonts w:ascii="Arial" w:hAnsi="Arial" w:cs="Arial"/>
          <w:bCs/>
        </w:rPr>
        <w:t>for 2023-24.</w:t>
      </w:r>
    </w:p>
    <w:p w14:paraId="3B36C7D6" w14:textId="77777777" w:rsidR="00616AE4" w:rsidRPr="00F869FA" w:rsidRDefault="00616AE4" w:rsidP="007977BF">
      <w:pPr>
        <w:rPr>
          <w:rFonts w:ascii="Arial" w:hAnsi="Arial" w:cs="Arial"/>
          <w:bCs/>
          <w:highlight w:val="yellow"/>
        </w:rPr>
      </w:pPr>
    </w:p>
    <w:p w14:paraId="0F41B362" w14:textId="77777777" w:rsidR="007977BF" w:rsidRPr="00C27914" w:rsidRDefault="007977BF" w:rsidP="007977BF">
      <w:pPr>
        <w:rPr>
          <w:rFonts w:ascii="Arial" w:hAnsi="Arial" w:cs="Arial"/>
          <w:bCs/>
        </w:rPr>
      </w:pPr>
      <w:r w:rsidRPr="00C27914">
        <w:rPr>
          <w:rFonts w:ascii="Arial" w:hAnsi="Arial" w:cs="Arial"/>
          <w:bCs/>
        </w:rPr>
        <w:t>By retaining 5% of the 3- and 4-year-old funding allocation towards the cost of EY central services, Norfolk will meet the requirement for 95% pass-through of 3- and 4-year-old funding to providers.</w:t>
      </w:r>
    </w:p>
    <w:p w14:paraId="762FC2F7" w14:textId="77777777" w:rsidR="007977BF" w:rsidRPr="00F869FA" w:rsidRDefault="007977BF" w:rsidP="00637010">
      <w:pPr>
        <w:rPr>
          <w:rFonts w:ascii="Arial" w:hAnsi="Arial" w:cs="Arial"/>
          <w:b/>
          <w:sz w:val="28"/>
          <w:szCs w:val="28"/>
          <w:highlight w:val="yellow"/>
        </w:rPr>
      </w:pPr>
    </w:p>
    <w:p w14:paraId="56E1BE83" w14:textId="05AEBEAA" w:rsidR="00CC1939" w:rsidRPr="00F869FA" w:rsidRDefault="009E302C" w:rsidP="00637010">
      <w:pPr>
        <w:rPr>
          <w:rFonts w:ascii="Arial" w:hAnsi="Arial" w:cs="Arial"/>
          <w:bCs/>
          <w:highlight w:val="yellow"/>
        </w:rPr>
      </w:pPr>
      <w:r w:rsidRPr="0080476B">
        <w:rPr>
          <w:rFonts w:ascii="Arial" w:hAnsi="Arial" w:cs="Arial"/>
          <w:bCs/>
        </w:rPr>
        <w:t xml:space="preserve">At present, Norfolk’s formula for 2-year-old funding does not </w:t>
      </w:r>
      <w:r w:rsidR="005B299A" w:rsidRPr="0080476B">
        <w:rPr>
          <w:rFonts w:ascii="Arial" w:hAnsi="Arial" w:cs="Arial"/>
          <w:bCs/>
        </w:rPr>
        <w:t xml:space="preserve">include a contribution towards EY central services </w:t>
      </w:r>
      <w:r w:rsidR="00CC1939" w:rsidRPr="0080476B">
        <w:rPr>
          <w:rFonts w:ascii="Arial" w:hAnsi="Arial" w:cs="Arial"/>
          <w:bCs/>
        </w:rPr>
        <w:t>and there has been sufficient funding contribution, along with NCC’s contribution, to fund these services.  The</w:t>
      </w:r>
      <w:r w:rsidR="00CC1939" w:rsidRPr="00447CEC">
        <w:rPr>
          <w:rFonts w:ascii="Arial" w:hAnsi="Arial" w:cs="Arial"/>
          <w:bCs/>
        </w:rPr>
        <w:t xml:space="preserve"> 202</w:t>
      </w:r>
      <w:r w:rsidR="00447CEC" w:rsidRPr="00447CEC">
        <w:rPr>
          <w:rFonts w:ascii="Arial" w:hAnsi="Arial" w:cs="Arial"/>
          <w:bCs/>
        </w:rPr>
        <w:t>2</w:t>
      </w:r>
      <w:r w:rsidR="00CC1939" w:rsidRPr="00447CEC">
        <w:rPr>
          <w:rFonts w:ascii="Arial" w:hAnsi="Arial" w:cs="Arial"/>
          <w:bCs/>
        </w:rPr>
        <w:t>-2</w:t>
      </w:r>
      <w:r w:rsidR="00447CEC" w:rsidRPr="00447CEC">
        <w:rPr>
          <w:rFonts w:ascii="Arial" w:hAnsi="Arial" w:cs="Arial"/>
          <w:bCs/>
        </w:rPr>
        <w:t>3</w:t>
      </w:r>
      <w:r w:rsidR="00CC1939" w:rsidRPr="00447CEC">
        <w:rPr>
          <w:rFonts w:ascii="Arial" w:hAnsi="Arial" w:cs="Arial"/>
          <w:bCs/>
        </w:rPr>
        <w:t xml:space="preserve"> budget for these jointly funded services is as follows:</w:t>
      </w:r>
    </w:p>
    <w:p w14:paraId="6BB2DEFE" w14:textId="77777777" w:rsidR="00CC1939" w:rsidRPr="00F869FA" w:rsidRDefault="00CC1939" w:rsidP="00637010">
      <w:pPr>
        <w:rPr>
          <w:rFonts w:ascii="Arial" w:hAnsi="Arial" w:cs="Arial"/>
          <w:bCs/>
          <w:highlight w:val="yellow"/>
        </w:rPr>
      </w:pPr>
    </w:p>
    <w:tbl>
      <w:tblPr>
        <w:tblW w:w="10065" w:type="dxa"/>
        <w:tblLook w:val="04A0" w:firstRow="1" w:lastRow="0" w:firstColumn="1" w:lastColumn="0" w:noHBand="0" w:noVBand="1"/>
      </w:tblPr>
      <w:tblGrid>
        <w:gridCol w:w="5812"/>
        <w:gridCol w:w="2126"/>
        <w:gridCol w:w="2127"/>
      </w:tblGrid>
      <w:tr w:rsidR="00C02717" w:rsidRPr="00F869FA" w14:paraId="3CE3008E" w14:textId="77777777" w:rsidTr="005A3188">
        <w:trPr>
          <w:trHeight w:val="709"/>
        </w:trPr>
        <w:tc>
          <w:tcPr>
            <w:tcW w:w="5812" w:type="dxa"/>
            <w:tcBorders>
              <w:top w:val="nil"/>
              <w:left w:val="nil"/>
              <w:bottom w:val="single" w:sz="12" w:space="0" w:color="auto"/>
              <w:right w:val="single" w:sz="12" w:space="0" w:color="auto"/>
            </w:tcBorders>
            <w:shd w:val="clear" w:color="auto" w:fill="auto"/>
            <w:noWrap/>
            <w:vAlign w:val="center"/>
            <w:hideMark/>
          </w:tcPr>
          <w:p w14:paraId="636EE3C3" w14:textId="77777777" w:rsidR="00C02717" w:rsidRPr="00BA70E7" w:rsidRDefault="00C02717" w:rsidP="005A3188">
            <w:pPr>
              <w:rPr>
                <w:rFonts w:ascii="Arial" w:hAnsi="Arial" w:cs="Arial"/>
                <w:b/>
                <w:bCs/>
                <w:lang w:eastAsia="en-GB"/>
              </w:rPr>
            </w:pPr>
            <w:r w:rsidRPr="00BA70E7">
              <w:rPr>
                <w:rFonts w:ascii="Arial" w:hAnsi="Arial" w:cs="Arial"/>
                <w:b/>
                <w:bCs/>
                <w:lang w:eastAsia="en-GB"/>
              </w:rPr>
              <w:t xml:space="preserve">NCC Early </w:t>
            </w:r>
            <w:proofErr w:type="spellStart"/>
            <w:r w:rsidRPr="00BA70E7">
              <w:rPr>
                <w:rFonts w:ascii="Arial" w:hAnsi="Arial" w:cs="Arial"/>
                <w:b/>
                <w:bCs/>
                <w:lang w:eastAsia="en-GB"/>
              </w:rPr>
              <w:t>Years Service</w:t>
            </w:r>
            <w:proofErr w:type="spellEnd"/>
            <w:r w:rsidRPr="00BA70E7">
              <w:rPr>
                <w:rFonts w:ascii="Arial" w:hAnsi="Arial" w:cs="Arial"/>
                <w:b/>
                <w:bCs/>
                <w:lang w:eastAsia="en-GB"/>
              </w:rPr>
              <w:t xml:space="preserve"> &amp; Finance</w:t>
            </w:r>
          </w:p>
        </w:tc>
        <w:tc>
          <w:tcPr>
            <w:tcW w:w="2126"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30248C61" w14:textId="77777777" w:rsidR="00C02717" w:rsidRPr="00BA70E7" w:rsidRDefault="00C02717" w:rsidP="00403AAF">
            <w:pPr>
              <w:jc w:val="center"/>
              <w:rPr>
                <w:rFonts w:ascii="Arial" w:hAnsi="Arial" w:cs="Arial"/>
                <w:b/>
                <w:bCs/>
                <w:lang w:eastAsia="en-GB"/>
              </w:rPr>
            </w:pPr>
            <w:r w:rsidRPr="00BA70E7">
              <w:rPr>
                <w:rFonts w:ascii="Arial" w:hAnsi="Arial" w:cs="Arial"/>
                <w:b/>
                <w:bCs/>
                <w:lang w:eastAsia="en-GB"/>
              </w:rPr>
              <w:t>Centrally Retained DSG</w:t>
            </w:r>
          </w:p>
        </w:tc>
        <w:tc>
          <w:tcPr>
            <w:tcW w:w="2127" w:type="dxa"/>
            <w:tcBorders>
              <w:top w:val="single" w:sz="12" w:space="0" w:color="auto"/>
              <w:left w:val="nil"/>
              <w:bottom w:val="single" w:sz="8" w:space="0" w:color="auto"/>
              <w:right w:val="single" w:sz="12" w:space="0" w:color="auto"/>
            </w:tcBorders>
            <w:shd w:val="clear" w:color="auto" w:fill="auto"/>
            <w:vAlign w:val="center"/>
            <w:hideMark/>
          </w:tcPr>
          <w:p w14:paraId="052A253B" w14:textId="77777777" w:rsidR="00C02717" w:rsidRPr="00BA70E7" w:rsidRDefault="00C02717" w:rsidP="00403AAF">
            <w:pPr>
              <w:jc w:val="center"/>
              <w:rPr>
                <w:rFonts w:ascii="Arial" w:hAnsi="Arial" w:cs="Arial"/>
                <w:b/>
                <w:bCs/>
                <w:lang w:eastAsia="en-GB"/>
              </w:rPr>
            </w:pPr>
            <w:r w:rsidRPr="00BA70E7">
              <w:rPr>
                <w:rFonts w:ascii="Arial" w:hAnsi="Arial" w:cs="Arial"/>
                <w:b/>
                <w:bCs/>
                <w:lang w:eastAsia="en-GB"/>
              </w:rPr>
              <w:t>LA Contribution to Service</w:t>
            </w:r>
          </w:p>
        </w:tc>
      </w:tr>
      <w:tr w:rsidR="00C02717" w:rsidRPr="00F869FA" w14:paraId="0D95BFBF" w14:textId="77777777" w:rsidTr="005A3188">
        <w:trPr>
          <w:trHeight w:val="315"/>
        </w:trPr>
        <w:tc>
          <w:tcPr>
            <w:tcW w:w="5812"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B99234C"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Early Years Staff Costs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6CEC0109" w14:textId="57B0D083" w:rsidR="00C02717" w:rsidRPr="00F869FA" w:rsidRDefault="00C02717" w:rsidP="00403AAF">
            <w:pPr>
              <w:jc w:val="center"/>
              <w:rPr>
                <w:rFonts w:ascii="Arial" w:hAnsi="Arial" w:cs="Arial"/>
                <w:color w:val="000000"/>
                <w:highlight w:val="yellow"/>
                <w:lang w:eastAsia="en-GB"/>
              </w:rPr>
            </w:pPr>
            <w:r w:rsidRPr="00850A9D">
              <w:rPr>
                <w:rFonts w:ascii="Arial" w:hAnsi="Arial" w:cs="Arial"/>
                <w:color w:val="000000"/>
                <w:lang w:eastAsia="en-GB"/>
              </w:rPr>
              <w:t>£1.</w:t>
            </w:r>
            <w:r w:rsidR="00850A9D" w:rsidRPr="00850A9D">
              <w:rPr>
                <w:rFonts w:ascii="Arial" w:hAnsi="Arial" w:cs="Arial"/>
                <w:color w:val="000000"/>
                <w:lang w:eastAsia="en-GB"/>
              </w:rPr>
              <w:t>4</w:t>
            </w:r>
            <w:r w:rsidR="00D07C10" w:rsidRPr="00850A9D">
              <w:rPr>
                <w:rFonts w:ascii="Arial" w:hAnsi="Arial" w:cs="Arial"/>
                <w:color w:val="000000"/>
                <w:lang w:eastAsia="en-GB"/>
              </w:rPr>
              <w:t>53</w:t>
            </w:r>
            <w:r w:rsidRPr="00850A9D">
              <w:rPr>
                <w:rFonts w:ascii="Arial" w:hAnsi="Arial" w:cs="Arial"/>
                <w:color w:val="000000"/>
                <w:lang w:eastAsia="en-GB"/>
              </w:rPr>
              <w:t>m</w:t>
            </w: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34F09BCC" w14:textId="500BCAF8" w:rsidR="00C02717" w:rsidRPr="00F869FA" w:rsidRDefault="00C02717" w:rsidP="00403AAF">
            <w:pPr>
              <w:jc w:val="center"/>
              <w:rPr>
                <w:rFonts w:ascii="Arial" w:hAnsi="Arial" w:cs="Arial"/>
                <w:color w:val="000000"/>
                <w:highlight w:val="yellow"/>
                <w:lang w:eastAsia="en-GB"/>
              </w:rPr>
            </w:pPr>
            <w:r w:rsidRPr="00884A93">
              <w:rPr>
                <w:rFonts w:ascii="Arial" w:hAnsi="Arial" w:cs="Arial"/>
                <w:color w:val="000000"/>
                <w:lang w:eastAsia="en-GB"/>
              </w:rPr>
              <w:t>£0.</w:t>
            </w:r>
            <w:r w:rsidR="00884A93" w:rsidRPr="00884A93">
              <w:rPr>
                <w:rFonts w:ascii="Arial" w:hAnsi="Arial" w:cs="Arial"/>
                <w:color w:val="000000"/>
                <w:lang w:eastAsia="en-GB"/>
              </w:rPr>
              <w:t>328</w:t>
            </w:r>
            <w:r w:rsidRPr="00884A93">
              <w:rPr>
                <w:rFonts w:ascii="Arial" w:hAnsi="Arial" w:cs="Arial"/>
                <w:color w:val="000000"/>
                <w:lang w:eastAsia="en-GB"/>
              </w:rPr>
              <w:t>m</w:t>
            </w:r>
          </w:p>
        </w:tc>
      </w:tr>
      <w:tr w:rsidR="00C02717" w:rsidRPr="00F869FA" w14:paraId="3DDF8BB3" w14:textId="77777777" w:rsidTr="005A3188">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4E9C5AC"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Early Years Finance Staff Costs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575135AB" w14:textId="5CB975C3" w:rsidR="00C02717" w:rsidRPr="00F869FA" w:rsidRDefault="00C02717" w:rsidP="00403AAF">
            <w:pPr>
              <w:jc w:val="center"/>
              <w:rPr>
                <w:rFonts w:ascii="Arial" w:hAnsi="Arial" w:cs="Arial"/>
                <w:color w:val="000000"/>
                <w:highlight w:val="yellow"/>
                <w:lang w:eastAsia="en-GB"/>
              </w:rPr>
            </w:pPr>
            <w:r w:rsidRPr="009E4195">
              <w:rPr>
                <w:rFonts w:ascii="Arial" w:hAnsi="Arial" w:cs="Arial"/>
                <w:color w:val="000000"/>
                <w:lang w:eastAsia="en-GB"/>
              </w:rPr>
              <w:t>£0.</w:t>
            </w:r>
            <w:r w:rsidR="00FC7857" w:rsidRPr="009E4195">
              <w:rPr>
                <w:rFonts w:ascii="Arial" w:hAnsi="Arial" w:cs="Arial"/>
                <w:color w:val="000000"/>
                <w:lang w:eastAsia="en-GB"/>
              </w:rPr>
              <w:t>205</w:t>
            </w:r>
            <w:r w:rsidRPr="009E4195">
              <w:rPr>
                <w:rFonts w:ascii="Arial" w:hAnsi="Arial" w:cs="Arial"/>
                <w:color w:val="000000"/>
                <w:lang w:eastAsia="en-GB"/>
              </w:rPr>
              <w:t>m</w:t>
            </w: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6184C752" w14:textId="6D86453D" w:rsidR="00C02717" w:rsidRPr="00F869FA" w:rsidRDefault="00C02717" w:rsidP="00403AAF">
            <w:pPr>
              <w:jc w:val="center"/>
              <w:rPr>
                <w:rFonts w:ascii="Arial" w:hAnsi="Arial" w:cs="Arial"/>
                <w:color w:val="000000"/>
                <w:highlight w:val="yellow"/>
                <w:lang w:eastAsia="en-GB"/>
              </w:rPr>
            </w:pPr>
          </w:p>
        </w:tc>
      </w:tr>
      <w:tr w:rsidR="00C02717" w:rsidRPr="00F869FA" w14:paraId="51A6D24F" w14:textId="77777777" w:rsidTr="005A3188">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3FF35FB"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Contribution to Portage</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30C6C3DD" w14:textId="77777777" w:rsidR="00C02717" w:rsidRPr="00F869FA" w:rsidRDefault="00C02717" w:rsidP="00403AAF">
            <w:pPr>
              <w:jc w:val="center"/>
              <w:rPr>
                <w:rFonts w:ascii="Arial" w:hAnsi="Arial" w:cs="Arial"/>
                <w:color w:val="000000"/>
                <w:highlight w:val="yellow"/>
                <w:lang w:eastAsia="en-GB"/>
              </w:rPr>
            </w:pPr>
            <w:r w:rsidRPr="009E4195">
              <w:rPr>
                <w:rFonts w:ascii="Arial" w:hAnsi="Arial" w:cs="Arial"/>
                <w:color w:val="000000"/>
                <w:lang w:eastAsia="en-GB"/>
              </w:rPr>
              <w:t>£0.161m</w:t>
            </w:r>
          </w:p>
        </w:tc>
        <w:tc>
          <w:tcPr>
            <w:tcW w:w="2127" w:type="dxa"/>
            <w:tcBorders>
              <w:top w:val="nil"/>
              <w:left w:val="nil"/>
              <w:bottom w:val="single" w:sz="4" w:space="0" w:color="auto"/>
              <w:right w:val="single" w:sz="12" w:space="0" w:color="auto"/>
            </w:tcBorders>
            <w:shd w:val="clear" w:color="auto" w:fill="auto"/>
            <w:noWrap/>
            <w:vAlign w:val="bottom"/>
            <w:hideMark/>
          </w:tcPr>
          <w:p w14:paraId="5454BB6B" w14:textId="2C8BDA73" w:rsidR="00C02717" w:rsidRPr="00F869FA" w:rsidRDefault="00C02717" w:rsidP="00403AAF">
            <w:pPr>
              <w:jc w:val="center"/>
              <w:rPr>
                <w:rFonts w:ascii="Arial" w:hAnsi="Arial" w:cs="Arial"/>
                <w:color w:val="000000"/>
                <w:highlight w:val="yellow"/>
                <w:lang w:eastAsia="en-GB"/>
              </w:rPr>
            </w:pPr>
          </w:p>
        </w:tc>
      </w:tr>
      <w:tr w:rsidR="00C02717" w:rsidRPr="00F869FA" w14:paraId="3EAC793C" w14:textId="77777777" w:rsidTr="005A3188">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7DF03C2"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Training Programme and Projects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119FE1E7" w14:textId="0C483710" w:rsidR="00C02717" w:rsidRPr="00F869FA" w:rsidRDefault="00C02717" w:rsidP="00403AAF">
            <w:pPr>
              <w:jc w:val="center"/>
              <w:rPr>
                <w:rFonts w:ascii="Arial" w:hAnsi="Arial" w:cs="Arial"/>
                <w:color w:val="000000"/>
                <w:highlight w:val="yellow"/>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3DAA05C7" w14:textId="3AB37F85" w:rsidR="00C02717" w:rsidRPr="00F869FA" w:rsidRDefault="00C02717" w:rsidP="00403AAF">
            <w:pPr>
              <w:jc w:val="center"/>
              <w:rPr>
                <w:rFonts w:ascii="Arial" w:hAnsi="Arial" w:cs="Arial"/>
                <w:color w:val="000000"/>
                <w:highlight w:val="yellow"/>
                <w:lang w:eastAsia="en-GB"/>
              </w:rPr>
            </w:pPr>
            <w:r w:rsidRPr="0050399B">
              <w:rPr>
                <w:rFonts w:ascii="Arial" w:hAnsi="Arial" w:cs="Arial"/>
                <w:color w:val="000000"/>
                <w:lang w:eastAsia="en-GB"/>
              </w:rPr>
              <w:t>£0.</w:t>
            </w:r>
            <w:r w:rsidR="004F7BE0" w:rsidRPr="0050399B">
              <w:rPr>
                <w:rFonts w:ascii="Arial" w:hAnsi="Arial" w:cs="Arial"/>
                <w:color w:val="000000"/>
                <w:lang w:eastAsia="en-GB"/>
              </w:rPr>
              <w:t>6</w:t>
            </w:r>
            <w:r w:rsidR="0050399B" w:rsidRPr="0050399B">
              <w:rPr>
                <w:rFonts w:ascii="Arial" w:hAnsi="Arial" w:cs="Arial"/>
                <w:color w:val="000000"/>
                <w:lang w:eastAsia="en-GB"/>
              </w:rPr>
              <w:t>04</w:t>
            </w:r>
            <w:r w:rsidRPr="0050399B">
              <w:rPr>
                <w:rFonts w:ascii="Arial" w:hAnsi="Arial" w:cs="Arial"/>
                <w:color w:val="000000"/>
                <w:lang w:eastAsia="en-GB"/>
              </w:rPr>
              <w:t>m</w:t>
            </w:r>
          </w:p>
        </w:tc>
      </w:tr>
      <w:tr w:rsidR="00C02717" w:rsidRPr="00F869FA" w14:paraId="3E164624" w14:textId="77777777" w:rsidTr="005A3188">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9B3D9BF"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Resources</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03B56442" w14:textId="497506A7" w:rsidR="00C02717" w:rsidRPr="00F869FA" w:rsidRDefault="00C02717" w:rsidP="00403AAF">
            <w:pPr>
              <w:jc w:val="center"/>
              <w:rPr>
                <w:rFonts w:ascii="Arial" w:hAnsi="Arial" w:cs="Arial"/>
                <w:color w:val="000000"/>
                <w:highlight w:val="yellow"/>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60D3F2CB" w14:textId="4632A810" w:rsidR="00C02717" w:rsidRPr="00F869FA" w:rsidRDefault="00C02717" w:rsidP="00403AAF">
            <w:pPr>
              <w:jc w:val="center"/>
              <w:rPr>
                <w:rFonts w:ascii="Arial" w:hAnsi="Arial" w:cs="Arial"/>
                <w:color w:val="000000"/>
                <w:highlight w:val="yellow"/>
                <w:lang w:eastAsia="en-GB"/>
              </w:rPr>
            </w:pPr>
            <w:r w:rsidRPr="002F309E">
              <w:rPr>
                <w:rFonts w:ascii="Arial" w:hAnsi="Arial" w:cs="Arial"/>
                <w:color w:val="000000"/>
                <w:lang w:eastAsia="en-GB"/>
              </w:rPr>
              <w:t>£0.0</w:t>
            </w:r>
            <w:r w:rsidR="000E45E6" w:rsidRPr="002F309E">
              <w:rPr>
                <w:rFonts w:ascii="Arial" w:hAnsi="Arial" w:cs="Arial"/>
                <w:color w:val="000000"/>
                <w:lang w:eastAsia="en-GB"/>
              </w:rPr>
              <w:t>96</w:t>
            </w:r>
            <w:r w:rsidRPr="002F309E">
              <w:rPr>
                <w:rFonts w:ascii="Arial" w:hAnsi="Arial" w:cs="Arial"/>
                <w:color w:val="000000"/>
                <w:lang w:eastAsia="en-GB"/>
              </w:rPr>
              <w:t>m</w:t>
            </w:r>
          </w:p>
        </w:tc>
      </w:tr>
      <w:tr w:rsidR="00C02717" w:rsidRPr="00F869FA" w14:paraId="56797BF7" w14:textId="77777777" w:rsidTr="005A3188">
        <w:trPr>
          <w:trHeight w:val="315"/>
        </w:trPr>
        <w:tc>
          <w:tcPr>
            <w:tcW w:w="5812"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78D983C"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Funding Panel</w:t>
            </w:r>
          </w:p>
        </w:tc>
        <w:tc>
          <w:tcPr>
            <w:tcW w:w="2126" w:type="dxa"/>
            <w:tcBorders>
              <w:top w:val="nil"/>
              <w:left w:val="single" w:sz="12" w:space="0" w:color="auto"/>
              <w:bottom w:val="single" w:sz="4" w:space="0" w:color="auto"/>
              <w:right w:val="single" w:sz="4" w:space="0" w:color="auto"/>
            </w:tcBorders>
            <w:shd w:val="clear" w:color="auto" w:fill="auto"/>
            <w:noWrap/>
            <w:vAlign w:val="bottom"/>
            <w:hideMark/>
          </w:tcPr>
          <w:p w14:paraId="0E1628BE" w14:textId="298D0418" w:rsidR="00C02717" w:rsidRPr="00F869FA" w:rsidRDefault="00C02717" w:rsidP="00403AAF">
            <w:pPr>
              <w:jc w:val="center"/>
              <w:rPr>
                <w:rFonts w:ascii="Arial" w:hAnsi="Arial" w:cs="Arial"/>
                <w:color w:val="000000"/>
                <w:highlight w:val="yellow"/>
                <w:lang w:eastAsia="en-GB"/>
              </w:rPr>
            </w:pPr>
          </w:p>
        </w:tc>
        <w:tc>
          <w:tcPr>
            <w:tcW w:w="2127" w:type="dxa"/>
            <w:tcBorders>
              <w:top w:val="nil"/>
              <w:left w:val="single" w:sz="4" w:space="0" w:color="auto"/>
              <w:bottom w:val="single" w:sz="4" w:space="0" w:color="auto"/>
              <w:right w:val="single" w:sz="12" w:space="0" w:color="auto"/>
            </w:tcBorders>
            <w:shd w:val="clear" w:color="auto" w:fill="auto"/>
            <w:noWrap/>
            <w:vAlign w:val="bottom"/>
            <w:hideMark/>
          </w:tcPr>
          <w:p w14:paraId="0325A6B7" w14:textId="4B51BA8B" w:rsidR="00C02717" w:rsidRPr="00F869FA" w:rsidRDefault="00C02717" w:rsidP="00403AAF">
            <w:pPr>
              <w:jc w:val="center"/>
              <w:rPr>
                <w:rFonts w:ascii="Arial" w:hAnsi="Arial" w:cs="Arial"/>
                <w:color w:val="000000"/>
                <w:highlight w:val="yellow"/>
                <w:lang w:eastAsia="en-GB"/>
              </w:rPr>
            </w:pPr>
            <w:r w:rsidRPr="003B37EC">
              <w:rPr>
                <w:rFonts w:ascii="Arial" w:hAnsi="Arial" w:cs="Arial"/>
                <w:color w:val="000000"/>
                <w:lang w:eastAsia="en-GB"/>
              </w:rPr>
              <w:t>£0.3</w:t>
            </w:r>
            <w:r w:rsidR="003B37EC" w:rsidRPr="003B37EC">
              <w:rPr>
                <w:rFonts w:ascii="Arial" w:hAnsi="Arial" w:cs="Arial"/>
                <w:color w:val="000000"/>
                <w:lang w:eastAsia="en-GB"/>
              </w:rPr>
              <w:t>86</w:t>
            </w:r>
            <w:r w:rsidRPr="003B37EC">
              <w:rPr>
                <w:rFonts w:ascii="Arial" w:hAnsi="Arial" w:cs="Arial"/>
                <w:color w:val="000000"/>
                <w:lang w:eastAsia="en-GB"/>
              </w:rPr>
              <w:t>m</w:t>
            </w:r>
          </w:p>
        </w:tc>
      </w:tr>
      <w:tr w:rsidR="00C02717" w:rsidRPr="00F869FA" w14:paraId="5BC2F527" w14:textId="77777777" w:rsidTr="005A3188">
        <w:trPr>
          <w:trHeight w:val="330"/>
        </w:trPr>
        <w:tc>
          <w:tcPr>
            <w:tcW w:w="5812"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0D95A97F" w14:textId="77777777" w:rsidR="00C02717" w:rsidRPr="00BA70E7" w:rsidRDefault="00C02717" w:rsidP="005A3188">
            <w:pPr>
              <w:rPr>
                <w:rFonts w:ascii="Arial" w:hAnsi="Arial" w:cs="Arial"/>
                <w:color w:val="000000"/>
                <w:lang w:eastAsia="en-GB"/>
              </w:rPr>
            </w:pPr>
            <w:r w:rsidRPr="00BA70E7">
              <w:rPr>
                <w:rFonts w:ascii="Arial" w:hAnsi="Arial" w:cs="Arial"/>
                <w:color w:val="000000"/>
                <w:lang w:eastAsia="en-GB"/>
              </w:rPr>
              <w:t>Contribution to Speech and Language Contract</w:t>
            </w:r>
          </w:p>
        </w:tc>
        <w:tc>
          <w:tcPr>
            <w:tcW w:w="2126" w:type="dxa"/>
            <w:tcBorders>
              <w:top w:val="nil"/>
              <w:left w:val="single" w:sz="12" w:space="0" w:color="auto"/>
              <w:bottom w:val="single" w:sz="12" w:space="0" w:color="auto"/>
              <w:right w:val="single" w:sz="4" w:space="0" w:color="auto"/>
            </w:tcBorders>
            <w:shd w:val="clear" w:color="auto" w:fill="auto"/>
            <w:noWrap/>
            <w:vAlign w:val="bottom"/>
            <w:hideMark/>
          </w:tcPr>
          <w:p w14:paraId="419433CB" w14:textId="21E2D4E0" w:rsidR="00C02717" w:rsidRPr="00F869FA" w:rsidRDefault="00C02717" w:rsidP="00403AAF">
            <w:pPr>
              <w:jc w:val="center"/>
              <w:rPr>
                <w:rFonts w:ascii="Arial" w:hAnsi="Arial" w:cs="Arial"/>
                <w:color w:val="000000"/>
                <w:highlight w:val="yellow"/>
                <w:lang w:eastAsia="en-GB"/>
              </w:rPr>
            </w:pPr>
          </w:p>
        </w:tc>
        <w:tc>
          <w:tcPr>
            <w:tcW w:w="2127" w:type="dxa"/>
            <w:tcBorders>
              <w:top w:val="nil"/>
              <w:left w:val="single" w:sz="4" w:space="0" w:color="auto"/>
              <w:bottom w:val="single" w:sz="12" w:space="0" w:color="auto"/>
              <w:right w:val="single" w:sz="12" w:space="0" w:color="auto"/>
            </w:tcBorders>
            <w:shd w:val="clear" w:color="auto" w:fill="auto"/>
            <w:noWrap/>
            <w:vAlign w:val="bottom"/>
            <w:hideMark/>
          </w:tcPr>
          <w:p w14:paraId="6D93D799" w14:textId="2B3FE498" w:rsidR="00C02717" w:rsidRPr="008C0667" w:rsidRDefault="00C02717" w:rsidP="00403AAF">
            <w:pPr>
              <w:jc w:val="center"/>
              <w:rPr>
                <w:rFonts w:ascii="Arial" w:hAnsi="Arial" w:cs="Arial"/>
                <w:color w:val="000000"/>
                <w:lang w:eastAsia="en-GB"/>
              </w:rPr>
            </w:pPr>
            <w:r w:rsidRPr="008C0667">
              <w:rPr>
                <w:rFonts w:ascii="Arial" w:hAnsi="Arial" w:cs="Arial"/>
                <w:color w:val="000000"/>
                <w:lang w:eastAsia="en-GB"/>
              </w:rPr>
              <w:t>£0.2</w:t>
            </w:r>
            <w:r w:rsidR="00D135C4" w:rsidRPr="008C0667">
              <w:rPr>
                <w:rFonts w:ascii="Arial" w:hAnsi="Arial" w:cs="Arial"/>
                <w:color w:val="000000"/>
                <w:lang w:eastAsia="en-GB"/>
              </w:rPr>
              <w:t>7</w:t>
            </w:r>
            <w:r w:rsidR="008C0667" w:rsidRPr="008C0667">
              <w:rPr>
                <w:rFonts w:ascii="Arial" w:hAnsi="Arial" w:cs="Arial"/>
                <w:color w:val="000000"/>
                <w:lang w:eastAsia="en-GB"/>
              </w:rPr>
              <w:t>5</w:t>
            </w:r>
            <w:r w:rsidRPr="008C0667">
              <w:rPr>
                <w:rFonts w:ascii="Arial" w:hAnsi="Arial" w:cs="Arial"/>
                <w:color w:val="000000"/>
                <w:lang w:eastAsia="en-GB"/>
              </w:rPr>
              <w:t>m</w:t>
            </w:r>
          </w:p>
        </w:tc>
      </w:tr>
      <w:tr w:rsidR="00C02717" w:rsidRPr="00F869FA" w14:paraId="13673F66" w14:textId="77777777" w:rsidTr="005A3188">
        <w:trPr>
          <w:trHeight w:val="315"/>
        </w:trPr>
        <w:tc>
          <w:tcPr>
            <w:tcW w:w="5812" w:type="dxa"/>
            <w:vMerge w:val="restar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6143BAA6" w14:textId="77777777" w:rsidR="00C02717" w:rsidRPr="00BA70E7" w:rsidRDefault="00C02717" w:rsidP="005A3188">
            <w:pPr>
              <w:rPr>
                <w:rFonts w:ascii="Arial" w:hAnsi="Arial" w:cs="Arial"/>
                <w:b/>
                <w:bCs/>
                <w:color w:val="000000"/>
                <w:lang w:eastAsia="en-GB"/>
              </w:rPr>
            </w:pPr>
            <w:r w:rsidRPr="00BA70E7">
              <w:rPr>
                <w:rFonts w:ascii="Arial" w:hAnsi="Arial" w:cs="Arial"/>
                <w:b/>
                <w:bCs/>
                <w:color w:val="000000"/>
                <w:lang w:eastAsia="en-GB"/>
              </w:rPr>
              <w:t>TOTAL</w:t>
            </w:r>
          </w:p>
        </w:tc>
        <w:tc>
          <w:tcPr>
            <w:tcW w:w="212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E5C5834" w14:textId="5C66E2EF" w:rsidR="00C02717" w:rsidRPr="00F869FA" w:rsidRDefault="00C02717" w:rsidP="00403AAF">
            <w:pPr>
              <w:jc w:val="center"/>
              <w:rPr>
                <w:rFonts w:ascii="Arial" w:hAnsi="Arial" w:cs="Arial"/>
                <w:color w:val="000000"/>
                <w:highlight w:val="yellow"/>
                <w:lang w:eastAsia="en-GB"/>
              </w:rPr>
            </w:pPr>
            <w:r w:rsidRPr="00850A9D">
              <w:rPr>
                <w:rFonts w:ascii="Arial" w:hAnsi="Arial" w:cs="Arial"/>
                <w:color w:val="000000"/>
                <w:lang w:eastAsia="en-GB"/>
              </w:rPr>
              <w:t>£1.</w:t>
            </w:r>
            <w:r w:rsidR="00850A9D" w:rsidRPr="00850A9D">
              <w:rPr>
                <w:rFonts w:ascii="Arial" w:hAnsi="Arial" w:cs="Arial"/>
                <w:color w:val="000000"/>
                <w:lang w:eastAsia="en-GB"/>
              </w:rPr>
              <w:t>8</w:t>
            </w:r>
            <w:r w:rsidR="003A4EE1" w:rsidRPr="00850A9D">
              <w:rPr>
                <w:rFonts w:ascii="Arial" w:hAnsi="Arial" w:cs="Arial"/>
                <w:color w:val="000000"/>
                <w:lang w:eastAsia="en-GB"/>
              </w:rPr>
              <w:t>19</w:t>
            </w:r>
            <w:r w:rsidRPr="00850A9D">
              <w:rPr>
                <w:rFonts w:ascii="Arial" w:hAnsi="Arial" w:cs="Arial"/>
                <w:color w:val="000000"/>
                <w:lang w:eastAsia="en-GB"/>
              </w:rPr>
              <w:t>m</w:t>
            </w:r>
          </w:p>
        </w:tc>
        <w:tc>
          <w:tcPr>
            <w:tcW w:w="2127" w:type="dxa"/>
            <w:tcBorders>
              <w:top w:val="single" w:sz="12" w:space="0" w:color="auto"/>
              <w:left w:val="nil"/>
              <w:bottom w:val="single" w:sz="4" w:space="0" w:color="auto"/>
              <w:right w:val="single" w:sz="12" w:space="0" w:color="auto"/>
            </w:tcBorders>
            <w:shd w:val="clear" w:color="auto" w:fill="auto"/>
            <w:noWrap/>
            <w:vAlign w:val="bottom"/>
            <w:hideMark/>
          </w:tcPr>
          <w:p w14:paraId="37B0C44B" w14:textId="1B368E62" w:rsidR="00C02717" w:rsidRPr="00F869FA" w:rsidRDefault="00C02717" w:rsidP="00403AAF">
            <w:pPr>
              <w:jc w:val="center"/>
              <w:rPr>
                <w:rFonts w:ascii="Arial" w:hAnsi="Arial" w:cs="Arial"/>
                <w:color w:val="000000"/>
                <w:highlight w:val="yellow"/>
                <w:lang w:eastAsia="en-GB"/>
              </w:rPr>
            </w:pPr>
            <w:r w:rsidRPr="00C7682F">
              <w:rPr>
                <w:rFonts w:ascii="Arial" w:hAnsi="Arial" w:cs="Arial"/>
                <w:color w:val="000000"/>
                <w:lang w:eastAsia="en-GB"/>
              </w:rPr>
              <w:t>£1.</w:t>
            </w:r>
            <w:r w:rsidR="00C7682F" w:rsidRPr="00C7682F">
              <w:rPr>
                <w:rFonts w:ascii="Arial" w:hAnsi="Arial" w:cs="Arial"/>
                <w:color w:val="000000"/>
                <w:lang w:eastAsia="en-GB"/>
              </w:rPr>
              <w:t>689</w:t>
            </w:r>
            <w:r w:rsidRPr="00C7682F">
              <w:rPr>
                <w:rFonts w:ascii="Arial" w:hAnsi="Arial" w:cs="Arial"/>
                <w:color w:val="000000"/>
                <w:lang w:eastAsia="en-GB"/>
              </w:rPr>
              <w:t>m</w:t>
            </w:r>
          </w:p>
        </w:tc>
      </w:tr>
      <w:tr w:rsidR="00C02717" w:rsidRPr="00F869FA" w14:paraId="527C0379" w14:textId="77777777" w:rsidTr="005A3188">
        <w:trPr>
          <w:trHeight w:val="330"/>
        </w:trPr>
        <w:tc>
          <w:tcPr>
            <w:tcW w:w="5812" w:type="dxa"/>
            <w:vMerge/>
            <w:tcBorders>
              <w:top w:val="nil"/>
              <w:left w:val="single" w:sz="12" w:space="0" w:color="auto"/>
              <w:bottom w:val="single" w:sz="12" w:space="0" w:color="auto"/>
              <w:right w:val="single" w:sz="12" w:space="0" w:color="auto"/>
            </w:tcBorders>
            <w:vAlign w:val="center"/>
            <w:hideMark/>
          </w:tcPr>
          <w:p w14:paraId="7AF7F0D6" w14:textId="77777777" w:rsidR="00C02717" w:rsidRPr="00F869FA" w:rsidRDefault="00C02717" w:rsidP="005A3188">
            <w:pPr>
              <w:rPr>
                <w:rFonts w:ascii="Arial" w:hAnsi="Arial" w:cs="Arial"/>
                <w:b/>
                <w:bCs/>
                <w:color w:val="000000"/>
                <w:highlight w:val="yellow"/>
                <w:lang w:eastAsia="en-GB"/>
              </w:rPr>
            </w:pPr>
          </w:p>
        </w:tc>
        <w:tc>
          <w:tcPr>
            <w:tcW w:w="4253" w:type="dxa"/>
            <w:gridSpan w:val="2"/>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14DF3835" w14:textId="7E7E8B67" w:rsidR="00C02717" w:rsidRPr="00F869FA" w:rsidRDefault="00C02717" w:rsidP="005A3188">
            <w:pPr>
              <w:jc w:val="center"/>
              <w:rPr>
                <w:rFonts w:ascii="Arial" w:hAnsi="Arial" w:cs="Arial"/>
                <w:color w:val="000000"/>
                <w:highlight w:val="yellow"/>
                <w:lang w:eastAsia="en-GB"/>
              </w:rPr>
            </w:pPr>
            <w:r w:rsidRPr="00250A12">
              <w:rPr>
                <w:rFonts w:ascii="Arial" w:hAnsi="Arial" w:cs="Arial"/>
                <w:color w:val="000000"/>
                <w:lang w:eastAsia="en-GB"/>
              </w:rPr>
              <w:t>£3.</w:t>
            </w:r>
            <w:r w:rsidR="00250A12" w:rsidRPr="00250A12">
              <w:rPr>
                <w:rFonts w:ascii="Arial" w:hAnsi="Arial" w:cs="Arial"/>
                <w:color w:val="000000"/>
                <w:lang w:eastAsia="en-GB"/>
              </w:rPr>
              <w:t>508</w:t>
            </w:r>
            <w:r w:rsidRPr="00250A12">
              <w:rPr>
                <w:rFonts w:ascii="Arial" w:hAnsi="Arial" w:cs="Arial"/>
                <w:color w:val="000000"/>
                <w:lang w:eastAsia="en-GB"/>
              </w:rPr>
              <w:t>m</w:t>
            </w:r>
          </w:p>
        </w:tc>
      </w:tr>
    </w:tbl>
    <w:p w14:paraId="2B5E5EE1" w14:textId="77777777" w:rsidR="00405872" w:rsidRPr="00F869FA" w:rsidRDefault="00405872" w:rsidP="00637010">
      <w:pPr>
        <w:rPr>
          <w:rFonts w:ascii="Arial" w:hAnsi="Arial" w:cs="Arial"/>
          <w:bCs/>
          <w:highlight w:val="yellow"/>
        </w:rPr>
      </w:pPr>
    </w:p>
    <w:p w14:paraId="71DD4F98" w14:textId="77777777" w:rsidR="00CB1453" w:rsidRPr="00F869FA" w:rsidRDefault="00CB1453" w:rsidP="00637010">
      <w:pPr>
        <w:rPr>
          <w:rFonts w:ascii="Arial" w:hAnsi="Arial" w:cs="Arial"/>
          <w:bCs/>
          <w:highlight w:val="yellow"/>
        </w:rPr>
      </w:pPr>
    </w:p>
    <w:p w14:paraId="3CE4FC23" w14:textId="77777777" w:rsidR="00CB7D57" w:rsidRPr="00C764EA" w:rsidRDefault="00CB7D57" w:rsidP="00CB7D57">
      <w:pPr>
        <w:rPr>
          <w:rFonts w:ascii="Arial" w:hAnsi="Arial" w:cs="Arial"/>
          <w:b/>
          <w:color w:val="1F4E79" w:themeColor="accent5" w:themeShade="80"/>
          <w:szCs w:val="20"/>
        </w:rPr>
      </w:pPr>
      <w:r w:rsidRPr="00C764EA">
        <w:rPr>
          <w:rFonts w:ascii="Arial" w:hAnsi="Arial" w:cs="Arial"/>
          <w:b/>
          <w:color w:val="1F4E79" w:themeColor="accent5" w:themeShade="80"/>
          <w:szCs w:val="20"/>
        </w:rPr>
        <w:t xml:space="preserve">Schools Forum is asked to:  </w:t>
      </w:r>
    </w:p>
    <w:p w14:paraId="2E7440C1" w14:textId="77777777" w:rsidR="00CB7D57" w:rsidRPr="00C764EA" w:rsidRDefault="00CB7D57" w:rsidP="00637010">
      <w:pPr>
        <w:rPr>
          <w:rFonts w:ascii="Arial" w:hAnsi="Arial" w:cs="Arial"/>
          <w:color w:val="1F4E79" w:themeColor="accent5" w:themeShade="80"/>
        </w:rPr>
      </w:pPr>
    </w:p>
    <w:p w14:paraId="190AFB5C" w14:textId="11E7F99D" w:rsidR="00CB7D57" w:rsidRPr="00C764EA" w:rsidRDefault="00CB7D57" w:rsidP="00CB7D57">
      <w:pPr>
        <w:pStyle w:val="ListParagraph"/>
        <w:numPr>
          <w:ilvl w:val="0"/>
          <w:numId w:val="2"/>
        </w:numPr>
        <w:rPr>
          <w:rFonts w:ascii="Arial" w:hAnsi="Arial" w:cs="Arial"/>
          <w:b/>
          <w:color w:val="1F4E79" w:themeColor="accent5" w:themeShade="80"/>
          <w:szCs w:val="20"/>
        </w:rPr>
      </w:pPr>
      <w:r w:rsidRPr="00C764EA">
        <w:rPr>
          <w:rFonts w:ascii="Arial" w:hAnsi="Arial" w:cs="Arial"/>
          <w:b/>
          <w:color w:val="1F4E79" w:themeColor="accent5" w:themeShade="80"/>
        </w:rPr>
        <w:t>Vote on retention of 5% of 3- and 4-year-old allocations for EY central services</w:t>
      </w:r>
    </w:p>
    <w:p w14:paraId="127A3A20" w14:textId="77777777" w:rsidR="00E15B25" w:rsidRPr="00F869FA" w:rsidRDefault="00E15B25" w:rsidP="00E15B25">
      <w:pPr>
        <w:rPr>
          <w:rFonts w:ascii="Arial" w:hAnsi="Arial" w:cs="Arial"/>
          <w:b/>
          <w:bCs/>
          <w:sz w:val="28"/>
          <w:szCs w:val="28"/>
          <w:highlight w:val="yellow"/>
        </w:rPr>
      </w:pPr>
    </w:p>
    <w:p w14:paraId="106CF679" w14:textId="77777777" w:rsidR="00E15B25" w:rsidRPr="00F869FA" w:rsidRDefault="00E15B25" w:rsidP="00E15B25">
      <w:pPr>
        <w:rPr>
          <w:highlight w:val="yellow"/>
        </w:rPr>
      </w:pPr>
    </w:p>
    <w:p w14:paraId="6EE9F8C1" w14:textId="527873CD" w:rsidR="00637010" w:rsidRPr="006C0224" w:rsidRDefault="00637010" w:rsidP="0076609C">
      <w:pPr>
        <w:pStyle w:val="ListParagraph"/>
        <w:numPr>
          <w:ilvl w:val="0"/>
          <w:numId w:val="4"/>
        </w:numPr>
        <w:ind w:hanging="720"/>
        <w:rPr>
          <w:rFonts w:ascii="Arial" w:hAnsi="Arial" w:cs="Arial"/>
          <w:b/>
          <w:sz w:val="28"/>
          <w:szCs w:val="28"/>
        </w:rPr>
      </w:pPr>
      <w:r w:rsidRPr="006C0224">
        <w:rPr>
          <w:rFonts w:ascii="Arial" w:hAnsi="Arial" w:cs="Arial"/>
          <w:b/>
          <w:sz w:val="28"/>
          <w:szCs w:val="28"/>
        </w:rPr>
        <w:t>Central Services Schools Block</w:t>
      </w:r>
    </w:p>
    <w:p w14:paraId="08141310" w14:textId="247A8668" w:rsidR="002950CD" w:rsidRPr="00F869FA" w:rsidRDefault="002950CD" w:rsidP="002950CD">
      <w:pPr>
        <w:rPr>
          <w:rFonts w:ascii="Arial" w:hAnsi="Arial" w:cs="Arial"/>
          <w:b/>
          <w:sz w:val="28"/>
          <w:szCs w:val="28"/>
          <w:highlight w:val="yellow"/>
        </w:rPr>
      </w:pPr>
    </w:p>
    <w:p w14:paraId="1EFB93D3" w14:textId="3305E00E" w:rsidR="004C5707" w:rsidRPr="00F869FA" w:rsidRDefault="004C5707" w:rsidP="004C5707">
      <w:pPr>
        <w:rPr>
          <w:rFonts w:ascii="Arial" w:hAnsi="Arial" w:cs="Arial"/>
          <w:highlight w:val="yellow"/>
        </w:rPr>
      </w:pPr>
      <w:r w:rsidRPr="00003D27">
        <w:rPr>
          <w:rFonts w:ascii="Arial" w:hAnsi="Arial" w:cs="Arial"/>
        </w:rPr>
        <w:t xml:space="preserve">The Central School Services Block allocation for </w:t>
      </w:r>
      <w:r w:rsidR="00A43941" w:rsidRPr="00003D27">
        <w:rPr>
          <w:rFonts w:ascii="Arial" w:hAnsi="Arial" w:cs="Arial"/>
        </w:rPr>
        <w:t>2023-24</w:t>
      </w:r>
      <w:r w:rsidRPr="00003D27">
        <w:rPr>
          <w:rFonts w:ascii="Arial" w:hAnsi="Arial" w:cs="Arial"/>
        </w:rPr>
        <w:t xml:space="preserve"> is £</w:t>
      </w:r>
      <w:r w:rsidR="00EC2157" w:rsidRPr="00003D27">
        <w:rPr>
          <w:rFonts w:ascii="Arial" w:hAnsi="Arial" w:cs="Arial"/>
        </w:rPr>
        <w:t>4.080</w:t>
      </w:r>
      <w:r w:rsidRPr="00003D27">
        <w:rPr>
          <w:rFonts w:ascii="Arial" w:hAnsi="Arial" w:cs="Arial"/>
        </w:rPr>
        <w:t>m (£3.</w:t>
      </w:r>
      <w:r w:rsidR="00003D27" w:rsidRPr="00003D27">
        <w:rPr>
          <w:rFonts w:ascii="Arial" w:hAnsi="Arial" w:cs="Arial"/>
        </w:rPr>
        <w:t>965</w:t>
      </w:r>
      <w:r w:rsidRPr="00003D27">
        <w:rPr>
          <w:rFonts w:ascii="Arial" w:hAnsi="Arial" w:cs="Arial"/>
        </w:rPr>
        <w:t xml:space="preserve">m in </w:t>
      </w:r>
      <w:r w:rsidR="00A4319F" w:rsidRPr="00003D27">
        <w:rPr>
          <w:rFonts w:ascii="Arial" w:hAnsi="Arial" w:cs="Arial"/>
        </w:rPr>
        <w:t>2022-</w:t>
      </w:r>
      <w:r w:rsidR="00A4319F" w:rsidRPr="00F12EF1">
        <w:rPr>
          <w:rFonts w:ascii="Arial" w:hAnsi="Arial" w:cs="Arial"/>
        </w:rPr>
        <w:t>23</w:t>
      </w:r>
      <w:r w:rsidRPr="00F12EF1">
        <w:rPr>
          <w:rFonts w:ascii="Arial" w:hAnsi="Arial" w:cs="Arial"/>
        </w:rPr>
        <w:t>) and covers centrally retained budgets that support schools.  The increase of £0.1</w:t>
      </w:r>
      <w:r w:rsidR="00003D27" w:rsidRPr="00F12EF1">
        <w:rPr>
          <w:rFonts w:ascii="Arial" w:hAnsi="Arial" w:cs="Arial"/>
        </w:rPr>
        <w:t>15</w:t>
      </w:r>
      <w:r w:rsidRPr="00F12EF1">
        <w:rPr>
          <w:rFonts w:ascii="Arial" w:hAnsi="Arial" w:cs="Arial"/>
        </w:rPr>
        <w:t xml:space="preserve">m is due to an increase of </w:t>
      </w:r>
      <w:r w:rsidR="00F12EF1" w:rsidRPr="00F12EF1">
        <w:rPr>
          <w:rFonts w:ascii="Arial" w:hAnsi="Arial" w:cs="Arial"/>
        </w:rPr>
        <w:t>51</w:t>
      </w:r>
      <w:r w:rsidRPr="00F12EF1">
        <w:rPr>
          <w:rFonts w:ascii="Arial" w:hAnsi="Arial" w:cs="Arial"/>
        </w:rPr>
        <w:t>4 pupils between years, an</w:t>
      </w:r>
      <w:r w:rsidRPr="006C4D4E">
        <w:rPr>
          <w:rFonts w:ascii="Arial" w:hAnsi="Arial" w:cs="Arial"/>
        </w:rPr>
        <w:t xml:space="preserve"> increase in the amount allocated </w:t>
      </w:r>
      <w:r w:rsidRPr="00F12EF1">
        <w:rPr>
          <w:rFonts w:ascii="Arial" w:hAnsi="Arial" w:cs="Arial"/>
        </w:rPr>
        <w:t>per-pupil (from £3</w:t>
      </w:r>
      <w:r w:rsidR="006C4D4E" w:rsidRPr="00F12EF1">
        <w:rPr>
          <w:rFonts w:ascii="Arial" w:hAnsi="Arial" w:cs="Arial"/>
        </w:rPr>
        <w:t>5.75</w:t>
      </w:r>
      <w:r w:rsidRPr="00F12EF1">
        <w:rPr>
          <w:rFonts w:ascii="Arial" w:hAnsi="Arial" w:cs="Arial"/>
        </w:rPr>
        <w:t xml:space="preserve"> per-pupil to £3</w:t>
      </w:r>
      <w:r w:rsidR="006C4D4E" w:rsidRPr="00F12EF1">
        <w:rPr>
          <w:rFonts w:ascii="Arial" w:hAnsi="Arial" w:cs="Arial"/>
        </w:rPr>
        <w:t>6.88</w:t>
      </w:r>
      <w:r w:rsidRPr="00F12EF1">
        <w:rPr>
          <w:rFonts w:ascii="Arial" w:hAnsi="Arial" w:cs="Arial"/>
        </w:rPr>
        <w:t xml:space="preserve"> per-pupil), </w:t>
      </w:r>
      <w:r w:rsidR="002E44D2">
        <w:rPr>
          <w:rFonts w:ascii="Arial" w:hAnsi="Arial" w:cs="Arial"/>
        </w:rPr>
        <w:t>partially offset by a</w:t>
      </w:r>
      <w:r w:rsidRPr="00F12EF1">
        <w:rPr>
          <w:rFonts w:ascii="Arial" w:hAnsi="Arial" w:cs="Arial"/>
        </w:rPr>
        <w:t xml:space="preserve"> decrease in funding for historic </w:t>
      </w:r>
      <w:r w:rsidRPr="00E77091">
        <w:rPr>
          <w:rFonts w:ascii="Arial" w:hAnsi="Arial" w:cs="Arial"/>
        </w:rPr>
        <w:t>commitments (down from £1</w:t>
      </w:r>
      <w:r w:rsidR="00F12EF1" w:rsidRPr="00E77091">
        <w:rPr>
          <w:rFonts w:ascii="Arial" w:hAnsi="Arial" w:cs="Arial"/>
        </w:rPr>
        <w:t>23</w:t>
      </w:r>
      <w:r w:rsidRPr="00E77091">
        <w:rPr>
          <w:rFonts w:ascii="Arial" w:hAnsi="Arial" w:cs="Arial"/>
        </w:rPr>
        <w:t>k to £</w:t>
      </w:r>
      <w:r w:rsidR="00E77091" w:rsidRPr="00E77091">
        <w:rPr>
          <w:rFonts w:ascii="Arial" w:hAnsi="Arial" w:cs="Arial"/>
        </w:rPr>
        <w:t>98</w:t>
      </w:r>
      <w:r w:rsidRPr="00E77091">
        <w:rPr>
          <w:rFonts w:ascii="Arial" w:hAnsi="Arial" w:cs="Arial"/>
        </w:rPr>
        <w:t>k).  This</w:t>
      </w:r>
      <w:r w:rsidRPr="006C0224">
        <w:rPr>
          <w:rFonts w:ascii="Arial" w:hAnsi="Arial" w:cs="Arial"/>
        </w:rPr>
        <w:t xml:space="preserve"> </w:t>
      </w:r>
      <w:r w:rsidR="005C3A0D">
        <w:rPr>
          <w:rFonts w:ascii="Arial" w:hAnsi="Arial" w:cs="Arial"/>
        </w:rPr>
        <w:t xml:space="preserve">LA proposes to use this </w:t>
      </w:r>
      <w:r w:rsidRPr="006C0224">
        <w:rPr>
          <w:rFonts w:ascii="Arial" w:hAnsi="Arial" w:cs="Arial"/>
        </w:rPr>
        <w:t xml:space="preserve">DSG </w:t>
      </w:r>
      <w:r w:rsidRPr="002F7DC5">
        <w:rPr>
          <w:rFonts w:ascii="Arial" w:hAnsi="Arial" w:cs="Arial"/>
        </w:rPr>
        <w:t>block</w:t>
      </w:r>
      <w:r w:rsidR="002F7DC5" w:rsidRPr="002F7DC5">
        <w:rPr>
          <w:rFonts w:ascii="Arial" w:hAnsi="Arial" w:cs="Arial"/>
        </w:rPr>
        <w:t xml:space="preserve"> </w:t>
      </w:r>
      <w:r w:rsidRPr="002F7DC5">
        <w:rPr>
          <w:rFonts w:ascii="Arial" w:hAnsi="Arial" w:cs="Arial"/>
        </w:rPr>
        <w:t>as follows:</w:t>
      </w:r>
    </w:p>
    <w:p w14:paraId="3462D6A7" w14:textId="77777777" w:rsidR="004C5707" w:rsidRPr="006C0224" w:rsidRDefault="004C5707" w:rsidP="004C5707">
      <w:pPr>
        <w:rPr>
          <w:rFonts w:ascii="Arial" w:hAnsi="Arial" w:cs="Arial"/>
        </w:rPr>
      </w:pPr>
    </w:p>
    <w:p w14:paraId="4ED185B5" w14:textId="56B98223" w:rsidR="004C5707" w:rsidRPr="006C0224" w:rsidRDefault="004C5707" w:rsidP="004C5707">
      <w:pPr>
        <w:pStyle w:val="ListParagraph"/>
        <w:numPr>
          <w:ilvl w:val="0"/>
          <w:numId w:val="17"/>
        </w:numPr>
        <w:rPr>
          <w:rFonts w:ascii="Arial" w:hAnsi="Arial" w:cs="Arial"/>
        </w:rPr>
      </w:pPr>
      <w:r w:rsidRPr="006C0224">
        <w:rPr>
          <w:rFonts w:ascii="Arial" w:hAnsi="Arial" w:cs="Arial"/>
        </w:rPr>
        <w:lastRenderedPageBreak/>
        <w:t>To meet the cost of central licences for all schools which will be charged to the LA by the DfE</w:t>
      </w:r>
      <w:r w:rsidR="002F7DC5">
        <w:rPr>
          <w:rFonts w:ascii="Arial" w:hAnsi="Arial" w:cs="Arial"/>
        </w:rPr>
        <w:t xml:space="preserve"> (Schools Forum agreement not required</w:t>
      </w:r>
      <w:r w:rsidR="009E68C8">
        <w:rPr>
          <w:rFonts w:ascii="Arial" w:hAnsi="Arial" w:cs="Arial"/>
        </w:rPr>
        <w:t xml:space="preserve"> for this item)</w:t>
      </w:r>
      <w:r w:rsidRPr="006C0224">
        <w:rPr>
          <w:rFonts w:ascii="Arial" w:hAnsi="Arial" w:cs="Arial"/>
        </w:rPr>
        <w:t>;</w:t>
      </w:r>
    </w:p>
    <w:p w14:paraId="2BF4171A" w14:textId="77777777" w:rsidR="009E68C8" w:rsidRPr="006C0224" w:rsidRDefault="009E68C8" w:rsidP="009E68C8">
      <w:pPr>
        <w:pStyle w:val="ListParagraph"/>
        <w:ind w:left="790"/>
        <w:rPr>
          <w:rFonts w:ascii="Arial" w:hAnsi="Arial" w:cs="Arial"/>
        </w:rPr>
      </w:pPr>
    </w:p>
    <w:p w14:paraId="73A0C306" w14:textId="77777777" w:rsidR="00BE31CB" w:rsidRDefault="004C5707" w:rsidP="00BE31CB">
      <w:pPr>
        <w:pStyle w:val="ListParagraph"/>
        <w:numPr>
          <w:ilvl w:val="0"/>
          <w:numId w:val="17"/>
        </w:numPr>
        <w:rPr>
          <w:rFonts w:ascii="Arial" w:hAnsi="Arial" w:cs="Arial"/>
        </w:rPr>
      </w:pPr>
      <w:r w:rsidRPr="006C0224">
        <w:rPr>
          <w:rFonts w:ascii="Arial" w:hAnsi="Arial" w:cs="Arial"/>
        </w:rPr>
        <w:t>To meet historic commitments (Termination of employment costs</w:t>
      </w:r>
      <w:r w:rsidR="000E51D2">
        <w:rPr>
          <w:rFonts w:ascii="Arial" w:hAnsi="Arial" w:cs="Arial"/>
        </w:rPr>
        <w:t>, £64,994</w:t>
      </w:r>
      <w:r w:rsidRPr="009E68C8">
        <w:rPr>
          <w:rFonts w:ascii="Arial" w:hAnsi="Arial" w:cs="Arial"/>
        </w:rPr>
        <w:t xml:space="preserve">) </w:t>
      </w:r>
      <w:r w:rsidRPr="006C0224">
        <w:rPr>
          <w:rFonts w:ascii="Arial" w:hAnsi="Arial" w:cs="Arial"/>
        </w:rPr>
        <w:t>and ongoing central functions (School Admissions</w:t>
      </w:r>
      <w:r w:rsidR="000E51D2">
        <w:rPr>
          <w:rFonts w:ascii="Arial" w:hAnsi="Arial" w:cs="Arial"/>
        </w:rPr>
        <w:t xml:space="preserve"> £</w:t>
      </w:r>
      <w:r w:rsidR="00D80BDD">
        <w:rPr>
          <w:rFonts w:ascii="Arial" w:hAnsi="Arial" w:cs="Arial"/>
        </w:rPr>
        <w:t>487,011</w:t>
      </w:r>
      <w:r w:rsidR="00DF076C">
        <w:rPr>
          <w:rFonts w:ascii="Arial" w:hAnsi="Arial" w:cs="Arial"/>
        </w:rPr>
        <w:t>) plus</w:t>
      </w:r>
      <w:r w:rsidRPr="009E68C8">
        <w:rPr>
          <w:rFonts w:ascii="Arial" w:hAnsi="Arial" w:cs="Arial"/>
        </w:rPr>
        <w:t xml:space="preserve"> </w:t>
      </w:r>
      <w:r w:rsidR="00D80BDD">
        <w:rPr>
          <w:rFonts w:ascii="Arial" w:hAnsi="Arial" w:cs="Arial"/>
        </w:rPr>
        <w:t xml:space="preserve">the </w:t>
      </w:r>
      <w:r w:rsidRPr="006C0224">
        <w:rPr>
          <w:rFonts w:ascii="Arial" w:hAnsi="Arial" w:cs="Arial"/>
        </w:rPr>
        <w:t>Schools Forum</w:t>
      </w:r>
      <w:r w:rsidR="00D80BDD">
        <w:rPr>
          <w:rFonts w:ascii="Arial" w:hAnsi="Arial" w:cs="Arial"/>
        </w:rPr>
        <w:t xml:space="preserve"> budget </w:t>
      </w:r>
      <w:r w:rsidR="00DF076C">
        <w:rPr>
          <w:rFonts w:ascii="Arial" w:hAnsi="Arial" w:cs="Arial"/>
        </w:rPr>
        <w:t>(</w:t>
      </w:r>
      <w:r w:rsidR="00D80BDD">
        <w:rPr>
          <w:rFonts w:ascii="Arial" w:hAnsi="Arial" w:cs="Arial"/>
        </w:rPr>
        <w:t>£30,000</w:t>
      </w:r>
      <w:r w:rsidR="009E68C8" w:rsidRPr="009E68C8">
        <w:rPr>
          <w:rFonts w:ascii="Arial" w:hAnsi="Arial" w:cs="Arial"/>
        </w:rPr>
        <w:t>),</w:t>
      </w:r>
      <w:r w:rsidRPr="009E68C8">
        <w:rPr>
          <w:rFonts w:ascii="Arial" w:hAnsi="Arial" w:cs="Arial"/>
        </w:rPr>
        <w:t xml:space="preserve"> </w:t>
      </w:r>
      <w:r w:rsidRPr="006C0224">
        <w:rPr>
          <w:rFonts w:ascii="Arial" w:hAnsi="Arial" w:cs="Arial"/>
        </w:rPr>
        <w:t>which were agreed by Schools Forum at the November 202</w:t>
      </w:r>
      <w:r w:rsidR="006C0224" w:rsidRPr="006C0224">
        <w:rPr>
          <w:rFonts w:ascii="Arial" w:hAnsi="Arial" w:cs="Arial"/>
        </w:rPr>
        <w:t>2</w:t>
      </w:r>
      <w:r w:rsidRPr="006C0224">
        <w:rPr>
          <w:rFonts w:ascii="Arial" w:hAnsi="Arial" w:cs="Arial"/>
        </w:rPr>
        <w:t xml:space="preserve"> meeting</w:t>
      </w:r>
      <w:r w:rsidR="009E68C8" w:rsidRPr="009E68C8">
        <w:rPr>
          <w:rFonts w:ascii="Arial" w:hAnsi="Arial" w:cs="Arial"/>
        </w:rPr>
        <w:t>.</w:t>
      </w:r>
    </w:p>
    <w:p w14:paraId="7966B61C" w14:textId="77777777" w:rsidR="00BE31CB" w:rsidRPr="00BE31CB" w:rsidRDefault="00BE31CB" w:rsidP="00BE31CB">
      <w:pPr>
        <w:pStyle w:val="ListParagraph"/>
        <w:rPr>
          <w:rFonts w:ascii="Arial" w:hAnsi="Arial" w:cs="Arial"/>
        </w:rPr>
      </w:pPr>
    </w:p>
    <w:p w14:paraId="57033DB4" w14:textId="56421563" w:rsidR="004C5707" w:rsidRPr="00BE31CB" w:rsidRDefault="00C42DB4" w:rsidP="00BE31CB">
      <w:pPr>
        <w:pStyle w:val="ListParagraph"/>
        <w:numPr>
          <w:ilvl w:val="0"/>
          <w:numId w:val="17"/>
        </w:numPr>
        <w:rPr>
          <w:rFonts w:ascii="Arial" w:hAnsi="Arial" w:cs="Arial"/>
        </w:rPr>
      </w:pPr>
      <w:r>
        <w:rPr>
          <w:rFonts w:ascii="Arial" w:hAnsi="Arial" w:cs="Arial"/>
        </w:rPr>
        <w:t>T</w:t>
      </w:r>
      <w:r w:rsidR="009E68C8" w:rsidRPr="00BE31CB">
        <w:rPr>
          <w:rFonts w:ascii="Arial" w:hAnsi="Arial" w:cs="Arial"/>
        </w:rPr>
        <w:t xml:space="preserve">o fund </w:t>
      </w:r>
      <w:r w:rsidR="00F83BF0" w:rsidRPr="00BE31CB">
        <w:rPr>
          <w:rFonts w:ascii="Arial" w:hAnsi="Arial" w:cs="Arial"/>
        </w:rPr>
        <w:t xml:space="preserve">the following items </w:t>
      </w:r>
      <w:r>
        <w:rPr>
          <w:rFonts w:ascii="Arial" w:hAnsi="Arial" w:cs="Arial"/>
        </w:rPr>
        <w:t xml:space="preserve">that are </w:t>
      </w:r>
      <w:r w:rsidR="00F83BF0" w:rsidRPr="00BE31CB">
        <w:rPr>
          <w:rFonts w:ascii="Arial" w:hAnsi="Arial" w:cs="Arial"/>
        </w:rPr>
        <w:t xml:space="preserve">still to be agreed </w:t>
      </w:r>
      <w:r>
        <w:rPr>
          <w:rFonts w:ascii="Arial" w:hAnsi="Arial" w:cs="Arial"/>
        </w:rPr>
        <w:t xml:space="preserve">by Schools Forum </w:t>
      </w:r>
      <w:r w:rsidR="00E57986">
        <w:rPr>
          <w:rFonts w:ascii="Arial" w:hAnsi="Arial" w:cs="Arial"/>
        </w:rPr>
        <w:t>(</w:t>
      </w:r>
      <w:r w:rsidR="00035953">
        <w:rPr>
          <w:rFonts w:ascii="Arial" w:hAnsi="Arial" w:cs="Arial"/>
        </w:rPr>
        <w:t xml:space="preserve">vote to be undertaken at this </w:t>
      </w:r>
      <w:r w:rsidR="00F83BF0" w:rsidRPr="00BE31CB">
        <w:rPr>
          <w:rFonts w:ascii="Arial" w:hAnsi="Arial" w:cs="Arial"/>
        </w:rPr>
        <w:t>meeting</w:t>
      </w:r>
      <w:r w:rsidR="00035953">
        <w:rPr>
          <w:rFonts w:ascii="Arial" w:hAnsi="Arial" w:cs="Arial"/>
        </w:rPr>
        <w:t>)</w:t>
      </w:r>
      <w:r w:rsidR="00F83BF0" w:rsidRPr="00BE31CB">
        <w:rPr>
          <w:rFonts w:ascii="Arial" w:hAnsi="Arial" w:cs="Arial"/>
        </w:rPr>
        <w:t>:</w:t>
      </w:r>
    </w:p>
    <w:p w14:paraId="7CE8EAF6" w14:textId="77777777" w:rsidR="00F83BF0" w:rsidRPr="00F83BF0" w:rsidRDefault="00F83BF0" w:rsidP="00F83BF0">
      <w:pPr>
        <w:rPr>
          <w:rFonts w:ascii="Arial" w:hAnsi="Arial" w:cs="Arial"/>
        </w:rPr>
      </w:pPr>
    </w:p>
    <w:p w14:paraId="7AFFEB4F" w14:textId="0F514236" w:rsidR="009E68C8" w:rsidRDefault="00166E64" w:rsidP="00BB5A89">
      <w:pPr>
        <w:pStyle w:val="ListParagraph"/>
        <w:numPr>
          <w:ilvl w:val="0"/>
          <w:numId w:val="35"/>
        </w:numPr>
        <w:ind w:left="1843"/>
        <w:rPr>
          <w:rFonts w:ascii="Arial" w:hAnsi="Arial" w:cs="Arial"/>
        </w:rPr>
      </w:pPr>
      <w:r>
        <w:rPr>
          <w:rFonts w:ascii="Arial" w:hAnsi="Arial" w:cs="Arial"/>
        </w:rPr>
        <w:t xml:space="preserve">Fees to independent </w:t>
      </w:r>
      <w:r w:rsidR="0098140D">
        <w:rPr>
          <w:rFonts w:ascii="Arial" w:hAnsi="Arial" w:cs="Arial"/>
        </w:rPr>
        <w:t>schools for pupils with SEN</w:t>
      </w:r>
      <w:r w:rsidR="00A13B09">
        <w:rPr>
          <w:rFonts w:ascii="Arial" w:hAnsi="Arial" w:cs="Arial"/>
        </w:rPr>
        <w:t xml:space="preserve"> (£100,00)</w:t>
      </w:r>
    </w:p>
    <w:p w14:paraId="0A4C1C2B" w14:textId="77777777" w:rsidR="002608F3" w:rsidRPr="002608F3" w:rsidRDefault="002608F3" w:rsidP="002608F3">
      <w:pPr>
        <w:rPr>
          <w:rFonts w:ascii="Arial" w:hAnsi="Arial" w:cs="Arial"/>
        </w:rPr>
      </w:pPr>
    </w:p>
    <w:p w14:paraId="4C873B6F" w14:textId="767ED035" w:rsidR="009E68C8" w:rsidRPr="00F83BF0" w:rsidRDefault="00F83BF0" w:rsidP="00BB5A89">
      <w:pPr>
        <w:pStyle w:val="ListParagraph"/>
        <w:numPr>
          <w:ilvl w:val="0"/>
          <w:numId w:val="35"/>
        </w:numPr>
        <w:ind w:left="1843"/>
        <w:rPr>
          <w:rFonts w:ascii="Arial" w:hAnsi="Arial" w:cs="Arial"/>
        </w:rPr>
      </w:pPr>
      <w:r w:rsidRPr="00F83BF0">
        <w:rPr>
          <w:rFonts w:ascii="Arial" w:hAnsi="Arial" w:cs="Arial"/>
        </w:rPr>
        <w:t>C</w:t>
      </w:r>
      <w:r w:rsidR="009E68C8" w:rsidRPr="00F83BF0">
        <w:rPr>
          <w:rFonts w:ascii="Arial" w:hAnsi="Arial" w:cs="Arial"/>
        </w:rPr>
        <w:t xml:space="preserve">ontribution to </w:t>
      </w:r>
      <w:r w:rsidR="002C7ED8">
        <w:rPr>
          <w:rFonts w:ascii="Arial" w:hAnsi="Arial" w:cs="Arial"/>
        </w:rPr>
        <w:t xml:space="preserve">central budgets </w:t>
      </w:r>
      <w:r w:rsidR="004E26E8">
        <w:rPr>
          <w:rFonts w:ascii="Arial" w:hAnsi="Arial" w:cs="Arial"/>
        </w:rPr>
        <w:t xml:space="preserve">supporting </w:t>
      </w:r>
      <w:r w:rsidR="00EF4DDA">
        <w:rPr>
          <w:rFonts w:ascii="Arial" w:hAnsi="Arial" w:cs="Arial"/>
        </w:rPr>
        <w:t>l</w:t>
      </w:r>
      <w:r w:rsidR="009E68C8" w:rsidRPr="00F83BF0">
        <w:rPr>
          <w:rFonts w:ascii="Arial" w:hAnsi="Arial" w:cs="Arial"/>
        </w:rPr>
        <w:t xml:space="preserve">earning and </w:t>
      </w:r>
      <w:r w:rsidR="00EF4DDA">
        <w:rPr>
          <w:rFonts w:ascii="Arial" w:hAnsi="Arial" w:cs="Arial"/>
        </w:rPr>
        <w:t>i</w:t>
      </w:r>
      <w:r w:rsidR="009E68C8" w:rsidRPr="00F83BF0">
        <w:rPr>
          <w:rFonts w:ascii="Arial" w:hAnsi="Arial" w:cs="Arial"/>
        </w:rPr>
        <w:t>nclusion</w:t>
      </w:r>
      <w:r w:rsidR="00A13B09">
        <w:rPr>
          <w:rFonts w:ascii="Arial" w:hAnsi="Arial" w:cs="Arial"/>
        </w:rPr>
        <w:t xml:space="preserve"> (£119,700)</w:t>
      </w:r>
    </w:p>
    <w:p w14:paraId="5D2EC2B2" w14:textId="77777777" w:rsidR="00BB5A89" w:rsidRPr="00F869FA" w:rsidRDefault="00BB5A89" w:rsidP="00BB5A89">
      <w:pPr>
        <w:pStyle w:val="ListParagraph"/>
        <w:ind w:left="790"/>
        <w:rPr>
          <w:rFonts w:ascii="Arial" w:hAnsi="Arial" w:cs="Arial"/>
          <w:highlight w:val="yellow"/>
        </w:rPr>
      </w:pPr>
    </w:p>
    <w:p w14:paraId="0B82FD8E" w14:textId="0DACAA81" w:rsidR="004C5707" w:rsidRPr="00A13B09" w:rsidRDefault="004C5707" w:rsidP="00683A6F">
      <w:pPr>
        <w:pStyle w:val="ListParagraph"/>
        <w:numPr>
          <w:ilvl w:val="0"/>
          <w:numId w:val="17"/>
        </w:numPr>
        <w:rPr>
          <w:rFonts w:ascii="Arial" w:hAnsi="Arial" w:cs="Arial"/>
          <w:b/>
          <w:sz w:val="28"/>
          <w:szCs w:val="28"/>
        </w:rPr>
      </w:pPr>
      <w:r w:rsidRPr="00A13B09">
        <w:rPr>
          <w:rFonts w:ascii="Arial" w:hAnsi="Arial" w:cs="Arial"/>
        </w:rPr>
        <w:t xml:space="preserve">To provide a budget for the LA to meet responsibilities held for all schools </w:t>
      </w:r>
      <w:r w:rsidR="00142B42" w:rsidRPr="00A13B09">
        <w:rPr>
          <w:rFonts w:ascii="Arial" w:hAnsi="Arial" w:cs="Arial"/>
        </w:rPr>
        <w:t xml:space="preserve">including Teachers’ </w:t>
      </w:r>
      <w:r w:rsidR="00A13B09" w:rsidRPr="00A13B09">
        <w:rPr>
          <w:rFonts w:ascii="Arial" w:hAnsi="Arial" w:cs="Arial"/>
        </w:rPr>
        <w:t>Pension employer contributions for centrally employed teachers</w:t>
      </w:r>
      <w:r w:rsidR="00E57986">
        <w:rPr>
          <w:rFonts w:ascii="Arial" w:hAnsi="Arial" w:cs="Arial"/>
        </w:rPr>
        <w:t xml:space="preserve"> </w:t>
      </w:r>
      <w:r w:rsidR="00035953">
        <w:rPr>
          <w:rFonts w:ascii="Arial" w:hAnsi="Arial" w:cs="Arial"/>
        </w:rPr>
        <w:t xml:space="preserve">(vote to be undertaken at this </w:t>
      </w:r>
      <w:r w:rsidR="00035953" w:rsidRPr="00BE31CB">
        <w:rPr>
          <w:rFonts w:ascii="Arial" w:hAnsi="Arial" w:cs="Arial"/>
        </w:rPr>
        <w:t>meeting</w:t>
      </w:r>
      <w:r w:rsidR="00035953">
        <w:rPr>
          <w:rFonts w:ascii="Arial" w:hAnsi="Arial" w:cs="Arial"/>
        </w:rPr>
        <w:t>).</w:t>
      </w:r>
    </w:p>
    <w:p w14:paraId="038D2884" w14:textId="77777777" w:rsidR="004C5707" w:rsidRDefault="004C5707" w:rsidP="00683A6F">
      <w:pPr>
        <w:rPr>
          <w:rFonts w:ascii="Arial" w:hAnsi="Arial" w:cs="Arial"/>
          <w:b/>
          <w:sz w:val="28"/>
          <w:szCs w:val="28"/>
          <w:highlight w:val="yellow"/>
        </w:rPr>
      </w:pPr>
    </w:p>
    <w:p w14:paraId="0E094F20" w14:textId="5F7EF24C" w:rsidR="00A32E2D" w:rsidRPr="00422A86" w:rsidRDefault="00A32E2D" w:rsidP="00683A6F">
      <w:pPr>
        <w:rPr>
          <w:rFonts w:ascii="Arial" w:hAnsi="Arial" w:cs="Arial"/>
          <w:bCs/>
        </w:rPr>
      </w:pPr>
      <w:r w:rsidRPr="00422A86">
        <w:rPr>
          <w:rFonts w:ascii="Arial" w:hAnsi="Arial" w:cs="Arial"/>
          <w:bCs/>
        </w:rPr>
        <w:t xml:space="preserve">Additional information </w:t>
      </w:r>
      <w:r w:rsidR="00B71B1A">
        <w:rPr>
          <w:rFonts w:ascii="Arial" w:hAnsi="Arial" w:cs="Arial"/>
          <w:bCs/>
        </w:rPr>
        <w:t xml:space="preserve">has been provided, as requested at the November Schools Forum meeting, </w:t>
      </w:r>
      <w:r w:rsidRPr="00422A86">
        <w:rPr>
          <w:rFonts w:ascii="Arial" w:hAnsi="Arial" w:cs="Arial"/>
          <w:bCs/>
        </w:rPr>
        <w:t xml:space="preserve">for </w:t>
      </w:r>
      <w:r w:rsidR="00B71B1A">
        <w:rPr>
          <w:rFonts w:ascii="Arial" w:hAnsi="Arial" w:cs="Arial"/>
          <w:bCs/>
        </w:rPr>
        <w:t xml:space="preserve">the </w:t>
      </w:r>
      <w:r w:rsidRPr="00422A86">
        <w:rPr>
          <w:rFonts w:ascii="Arial" w:hAnsi="Arial" w:cs="Arial"/>
          <w:bCs/>
        </w:rPr>
        <w:t>outstanding items</w:t>
      </w:r>
      <w:r w:rsidR="008902DC" w:rsidRPr="00422A86">
        <w:rPr>
          <w:rFonts w:ascii="Arial" w:hAnsi="Arial" w:cs="Arial"/>
          <w:bCs/>
        </w:rPr>
        <w:t xml:space="preserve"> to be agreed by Schools Forum</w:t>
      </w:r>
      <w:r w:rsidRPr="00422A86">
        <w:rPr>
          <w:rFonts w:ascii="Arial" w:hAnsi="Arial" w:cs="Arial"/>
          <w:bCs/>
        </w:rPr>
        <w:t>:</w:t>
      </w:r>
    </w:p>
    <w:p w14:paraId="7D9A5024" w14:textId="77777777" w:rsidR="00A32E2D" w:rsidRPr="00422A86" w:rsidRDefault="00A32E2D" w:rsidP="00683A6F">
      <w:pPr>
        <w:rPr>
          <w:rFonts w:ascii="Arial" w:hAnsi="Arial" w:cs="Arial"/>
          <w:b/>
          <w:sz w:val="28"/>
          <w:szCs w:val="28"/>
        </w:rPr>
      </w:pPr>
    </w:p>
    <w:p w14:paraId="63796575" w14:textId="1C1B7378" w:rsidR="00A32E2D" w:rsidRPr="00B71B1A" w:rsidRDefault="00A32E2D" w:rsidP="00683A6F">
      <w:pPr>
        <w:rPr>
          <w:rFonts w:ascii="Arial" w:hAnsi="Arial" w:cs="Arial"/>
          <w:b/>
          <w:u w:val="single"/>
        </w:rPr>
      </w:pPr>
      <w:r w:rsidRPr="00B71B1A">
        <w:rPr>
          <w:rFonts w:ascii="Arial" w:hAnsi="Arial" w:cs="Arial"/>
          <w:b/>
          <w:u w:val="single"/>
        </w:rPr>
        <w:t>Fees to independent schools for pupils with SEN</w:t>
      </w:r>
      <w:r w:rsidR="00422A86" w:rsidRPr="00B71B1A">
        <w:rPr>
          <w:rFonts w:ascii="Arial" w:hAnsi="Arial" w:cs="Arial"/>
          <w:b/>
          <w:u w:val="single"/>
        </w:rPr>
        <w:t xml:space="preserve"> - £100,000</w:t>
      </w:r>
    </w:p>
    <w:p w14:paraId="17A4CA23" w14:textId="77777777" w:rsidR="008902DC" w:rsidRDefault="008902DC" w:rsidP="00683A6F">
      <w:pPr>
        <w:rPr>
          <w:rFonts w:ascii="Arial" w:hAnsi="Arial" w:cs="Arial"/>
          <w:b/>
          <w:sz w:val="28"/>
          <w:szCs w:val="28"/>
          <w:highlight w:val="yellow"/>
        </w:rPr>
      </w:pPr>
    </w:p>
    <w:p w14:paraId="1A1F272D" w14:textId="77777777" w:rsidR="008902DC" w:rsidRPr="008902DC" w:rsidRDefault="008902DC" w:rsidP="008902DC">
      <w:pPr>
        <w:spacing w:after="160" w:line="259" w:lineRule="auto"/>
        <w:rPr>
          <w:rFonts w:ascii="Arial" w:eastAsiaTheme="minorHAnsi" w:hAnsi="Arial" w:cs="Arial"/>
        </w:rPr>
      </w:pPr>
      <w:r w:rsidRPr="008902DC">
        <w:rPr>
          <w:rFonts w:ascii="Arial" w:eastAsiaTheme="minorHAnsi" w:hAnsi="Arial" w:cs="Arial"/>
        </w:rPr>
        <w:t xml:space="preserve">The Assisted Boarding Partnership (ABP) scheme has long standing success in helping families stay together and on improving outcomes for children and young people. Norfolk’s Schools Forum has historically supported a contribution from the Central Services Schools Block reflecting a shared moral purpose of promoting life chances of some of Norfolk’s most vulnerable children and on the benefits to Norfolk and to its education system of children being able to remain living at home and being cared for by their families.  </w:t>
      </w:r>
    </w:p>
    <w:p w14:paraId="382E9A20" w14:textId="77777777" w:rsidR="008902DC" w:rsidRPr="008902DC" w:rsidRDefault="008902DC" w:rsidP="008902DC">
      <w:pPr>
        <w:spacing w:after="160" w:line="259" w:lineRule="auto"/>
        <w:rPr>
          <w:rFonts w:ascii="Arial" w:eastAsiaTheme="minorHAnsi" w:hAnsi="Arial" w:cs="Arial"/>
        </w:rPr>
      </w:pPr>
      <w:r w:rsidRPr="008902DC">
        <w:rPr>
          <w:rFonts w:ascii="Arial" w:eastAsiaTheme="minorHAnsi" w:hAnsi="Arial" w:cs="Arial"/>
        </w:rPr>
        <w:t xml:space="preserve">Children who access the ABP scheme who are at acute risk of entering into the care system. Without this opportunity, children will be at greater risk of the damage and turmoil that can be associated with the care experience, such as adverse childhood experiences and attachment difficulties, with its resulting known impact on children’s learning and educational needs. </w:t>
      </w:r>
    </w:p>
    <w:p w14:paraId="6EDBA0FA" w14:textId="77777777" w:rsidR="008902DC" w:rsidRPr="008902DC" w:rsidRDefault="008902DC" w:rsidP="008902DC">
      <w:pPr>
        <w:spacing w:after="160" w:line="259" w:lineRule="auto"/>
        <w:rPr>
          <w:rFonts w:ascii="Arial" w:eastAsiaTheme="minorHAnsi" w:hAnsi="Arial" w:cs="Arial"/>
        </w:rPr>
      </w:pPr>
      <w:r w:rsidRPr="008902DC">
        <w:rPr>
          <w:rFonts w:ascii="Arial" w:eastAsiaTheme="minorHAnsi" w:hAnsi="Arial" w:cs="Arial"/>
        </w:rPr>
        <w:t xml:space="preserve">Without access to this important scheme, such children will be more likely to require specialist care and educational facilities at a much greater cost to the High Needs Block, and even in cases where children are able to remain within a mainstream school setting, they will often require additional significant support, resources and provision from the school with its resulting impact on main school budgets. </w:t>
      </w:r>
    </w:p>
    <w:p w14:paraId="7ABB917A" w14:textId="77777777" w:rsidR="008902DC" w:rsidRPr="008902DC" w:rsidRDefault="008902DC" w:rsidP="008902DC">
      <w:pPr>
        <w:spacing w:after="160" w:line="259" w:lineRule="auto"/>
        <w:rPr>
          <w:rFonts w:ascii="Arial" w:eastAsiaTheme="minorHAnsi" w:hAnsi="Arial" w:cs="Arial"/>
        </w:rPr>
      </w:pPr>
      <w:r w:rsidRPr="008902DC">
        <w:rPr>
          <w:rFonts w:ascii="Arial" w:eastAsiaTheme="minorHAnsi" w:hAnsi="Arial" w:cs="Arial"/>
        </w:rPr>
        <w:t>The Local Authority sees the ABP as one of the cornerstones of its early help and prevention offer and considers it an effective initiative that not only improves outcomes for children and young people, reflects the Partnership’s shared purpose for children and young people to FLOURISH, but is also cost effective for both schools and council budgets through its proven success in meeting children’s needs at the earliest stage and before needs escalate to the point of crisis.</w:t>
      </w:r>
    </w:p>
    <w:p w14:paraId="0D092AF2" w14:textId="41EAA4B3" w:rsidR="008902DC" w:rsidRPr="008902DC" w:rsidRDefault="008902DC" w:rsidP="008902DC">
      <w:pPr>
        <w:rPr>
          <w:rFonts w:ascii="Arial" w:hAnsi="Arial" w:cs="Arial"/>
          <w:b/>
          <w:highlight w:val="yellow"/>
        </w:rPr>
      </w:pPr>
      <w:r w:rsidRPr="008902DC">
        <w:rPr>
          <w:rFonts w:ascii="Arial" w:eastAsiaTheme="minorHAnsi" w:hAnsi="Arial" w:cs="Arial"/>
        </w:rPr>
        <w:lastRenderedPageBreak/>
        <w:t>Following discussion of the Forum in November 2021, a link to research on the Assisted Boarding Partnership was circulated</w:t>
      </w:r>
      <w:r w:rsidR="0040522C">
        <w:rPr>
          <w:rStyle w:val="FootnoteReference"/>
          <w:rFonts w:ascii="Arial" w:eastAsiaTheme="minorHAnsi" w:hAnsi="Arial" w:cs="Arial"/>
        </w:rPr>
        <w:footnoteReference w:id="5"/>
      </w:r>
      <w:r w:rsidRPr="008902DC">
        <w:rPr>
          <w:rFonts w:ascii="Arial" w:eastAsiaTheme="minorHAnsi" w:hAnsi="Arial" w:cs="Arial"/>
        </w:rPr>
        <w:t xml:space="preserve">: </w:t>
      </w:r>
      <w:hyperlink r:id="rId15" w:history="1">
        <w:r w:rsidRPr="0040522C">
          <w:rPr>
            <w:rStyle w:val="Hyperlink"/>
            <w:rFonts w:ascii="Arial" w:hAnsi="Arial" w:cs="Arial"/>
          </w:rPr>
          <w:t>Norfolk research highlights success of boarding partnerships - Norfolk County Council</w:t>
        </w:r>
      </w:hyperlink>
    </w:p>
    <w:p w14:paraId="62463A51" w14:textId="77777777" w:rsidR="00A32E2D" w:rsidRDefault="00A32E2D" w:rsidP="00683A6F">
      <w:pPr>
        <w:rPr>
          <w:rFonts w:ascii="Arial" w:hAnsi="Arial" w:cs="Arial"/>
          <w:b/>
          <w:sz w:val="28"/>
          <w:szCs w:val="28"/>
          <w:highlight w:val="yellow"/>
        </w:rPr>
      </w:pPr>
    </w:p>
    <w:p w14:paraId="750F82EF" w14:textId="38270937" w:rsidR="00A32E2D" w:rsidRPr="00422A86" w:rsidRDefault="00422A86" w:rsidP="00683A6F">
      <w:pPr>
        <w:rPr>
          <w:rFonts w:ascii="Arial" w:hAnsi="Arial" w:cs="Arial"/>
          <w:b/>
        </w:rPr>
      </w:pPr>
      <w:r w:rsidRPr="00422A86">
        <w:rPr>
          <w:rFonts w:ascii="Arial" w:hAnsi="Arial" w:cs="Arial"/>
          <w:b/>
        </w:rPr>
        <w:t xml:space="preserve">Schools Forum are requested to approve a </w:t>
      </w:r>
      <w:r w:rsidR="008902DC" w:rsidRPr="00422A86">
        <w:rPr>
          <w:rFonts w:ascii="Arial" w:hAnsi="Arial" w:cs="Arial"/>
          <w:b/>
        </w:rPr>
        <w:t>continued contribution of £100,000</w:t>
      </w:r>
      <w:r w:rsidRPr="00422A86">
        <w:rPr>
          <w:rFonts w:ascii="Arial" w:hAnsi="Arial" w:cs="Arial"/>
          <w:b/>
        </w:rPr>
        <w:t xml:space="preserve"> for the Assisted Boarding Partnership</w:t>
      </w:r>
      <w:r w:rsidR="008902DC" w:rsidRPr="00422A86">
        <w:rPr>
          <w:rFonts w:ascii="Arial" w:hAnsi="Arial" w:cs="Arial"/>
          <w:b/>
        </w:rPr>
        <w:t xml:space="preserve"> from </w:t>
      </w:r>
      <w:r w:rsidRPr="00422A86">
        <w:rPr>
          <w:rFonts w:ascii="Arial" w:hAnsi="Arial" w:cs="Arial"/>
          <w:b/>
        </w:rPr>
        <w:t xml:space="preserve">the </w:t>
      </w:r>
      <w:r w:rsidR="008902DC" w:rsidRPr="00422A86">
        <w:rPr>
          <w:rFonts w:ascii="Arial" w:hAnsi="Arial" w:cs="Arial"/>
          <w:b/>
        </w:rPr>
        <w:t>Central Schools Services Block</w:t>
      </w:r>
      <w:r w:rsidR="00863F41" w:rsidRPr="00422A86">
        <w:rPr>
          <w:rFonts w:ascii="Arial" w:hAnsi="Arial" w:cs="Arial"/>
          <w:b/>
        </w:rPr>
        <w:t xml:space="preserve"> (as part of ongoing functions)</w:t>
      </w:r>
      <w:r w:rsidRPr="00422A86">
        <w:rPr>
          <w:rFonts w:ascii="Arial" w:hAnsi="Arial" w:cs="Arial"/>
          <w:b/>
        </w:rPr>
        <w:t>.</w:t>
      </w:r>
    </w:p>
    <w:p w14:paraId="167FC9BE" w14:textId="77777777" w:rsidR="008902DC" w:rsidRDefault="008902DC" w:rsidP="00683A6F">
      <w:pPr>
        <w:rPr>
          <w:rFonts w:ascii="Arial" w:hAnsi="Arial" w:cs="Arial"/>
          <w:b/>
          <w:sz w:val="28"/>
          <w:szCs w:val="28"/>
          <w:highlight w:val="yellow"/>
        </w:rPr>
      </w:pPr>
    </w:p>
    <w:p w14:paraId="20EF6660" w14:textId="0FACBC8F" w:rsidR="00422A86" w:rsidRPr="00B71B1A" w:rsidRDefault="00422A86" w:rsidP="00683A6F">
      <w:pPr>
        <w:rPr>
          <w:rFonts w:ascii="Arial" w:hAnsi="Arial" w:cs="Arial"/>
          <w:b/>
          <w:u w:val="single"/>
        </w:rPr>
      </w:pPr>
      <w:r w:rsidRPr="00B71B1A">
        <w:rPr>
          <w:rFonts w:ascii="Arial" w:hAnsi="Arial" w:cs="Arial"/>
          <w:b/>
          <w:u w:val="single"/>
        </w:rPr>
        <w:t>Contribution to</w:t>
      </w:r>
      <w:r w:rsidR="00EF4DDA">
        <w:rPr>
          <w:rFonts w:ascii="Arial" w:hAnsi="Arial" w:cs="Arial"/>
          <w:b/>
          <w:u w:val="single"/>
        </w:rPr>
        <w:t xml:space="preserve"> central budgets </w:t>
      </w:r>
      <w:r w:rsidR="004E26E8">
        <w:rPr>
          <w:rFonts w:ascii="Arial" w:hAnsi="Arial" w:cs="Arial"/>
          <w:b/>
          <w:u w:val="single"/>
        </w:rPr>
        <w:t>supporting</w:t>
      </w:r>
      <w:r w:rsidR="00EF4DDA">
        <w:rPr>
          <w:rFonts w:ascii="Arial" w:hAnsi="Arial" w:cs="Arial"/>
          <w:b/>
          <w:u w:val="single"/>
        </w:rPr>
        <w:t xml:space="preserve"> l</w:t>
      </w:r>
      <w:r w:rsidRPr="00B71B1A">
        <w:rPr>
          <w:rFonts w:ascii="Arial" w:hAnsi="Arial" w:cs="Arial"/>
          <w:b/>
          <w:u w:val="single"/>
        </w:rPr>
        <w:t xml:space="preserve">earning and </w:t>
      </w:r>
      <w:r w:rsidR="00EF4DDA">
        <w:rPr>
          <w:rFonts w:ascii="Arial" w:hAnsi="Arial" w:cs="Arial"/>
          <w:b/>
          <w:u w:val="single"/>
        </w:rPr>
        <w:t>i</w:t>
      </w:r>
      <w:r w:rsidRPr="00B71B1A">
        <w:rPr>
          <w:rFonts w:ascii="Arial" w:hAnsi="Arial" w:cs="Arial"/>
          <w:b/>
          <w:u w:val="single"/>
        </w:rPr>
        <w:t>nclusion</w:t>
      </w:r>
      <w:r w:rsidR="00861F8D">
        <w:rPr>
          <w:rFonts w:ascii="Arial" w:hAnsi="Arial" w:cs="Arial"/>
          <w:b/>
          <w:u w:val="single"/>
        </w:rPr>
        <w:t xml:space="preserve"> - £119,700</w:t>
      </w:r>
    </w:p>
    <w:p w14:paraId="205A9A73" w14:textId="46EFC100" w:rsidR="00B71B1A" w:rsidRPr="00317FB7" w:rsidRDefault="00B71B1A" w:rsidP="00683A6F">
      <w:pPr>
        <w:rPr>
          <w:rFonts w:ascii="Arial" w:hAnsi="Arial" w:cs="Arial"/>
          <w:b/>
          <w:u w:val="single"/>
        </w:rPr>
      </w:pPr>
    </w:p>
    <w:p w14:paraId="644DD848" w14:textId="77777777" w:rsidR="00D3108F" w:rsidRPr="00317FB7" w:rsidRDefault="00103849" w:rsidP="00683A6F">
      <w:pPr>
        <w:rPr>
          <w:rFonts w:ascii="Arial" w:hAnsi="Arial" w:cs="Arial"/>
          <w:bCs/>
        </w:rPr>
      </w:pPr>
      <w:r w:rsidRPr="00317FB7">
        <w:rPr>
          <w:rFonts w:ascii="Arial" w:hAnsi="Arial" w:cs="Arial"/>
          <w:bCs/>
        </w:rPr>
        <w:t xml:space="preserve">In the November 2022 Forum paper, this was </w:t>
      </w:r>
      <w:r w:rsidR="0097208E" w:rsidRPr="00317FB7">
        <w:rPr>
          <w:rFonts w:ascii="Arial" w:hAnsi="Arial" w:cs="Arial"/>
          <w:bCs/>
        </w:rPr>
        <w:t>referred to as ‘Contribution towards the Director of Learning &amp; Inclusion central budgets – early intervention and achievement’ in error, given that the Director of Learning and Inclusion was retiring at the end of 2022.</w:t>
      </w:r>
      <w:r w:rsidR="00A670C0" w:rsidRPr="00317FB7">
        <w:rPr>
          <w:rFonts w:ascii="Arial" w:hAnsi="Arial" w:cs="Arial"/>
          <w:bCs/>
        </w:rPr>
        <w:t xml:space="preserve">  Therefore, the LA were asked to clarify the purpose of the contribution</w:t>
      </w:r>
      <w:r w:rsidR="00D3108F" w:rsidRPr="00317FB7">
        <w:rPr>
          <w:rFonts w:ascii="Arial" w:hAnsi="Arial" w:cs="Arial"/>
          <w:bCs/>
        </w:rPr>
        <w:t xml:space="preserve">.  </w:t>
      </w:r>
    </w:p>
    <w:p w14:paraId="5A57ABDB" w14:textId="77777777" w:rsidR="00D3108F" w:rsidRPr="00317FB7" w:rsidRDefault="00D3108F" w:rsidP="00683A6F">
      <w:pPr>
        <w:rPr>
          <w:rFonts w:ascii="Arial" w:hAnsi="Arial" w:cs="Arial"/>
          <w:bCs/>
        </w:rPr>
      </w:pPr>
    </w:p>
    <w:p w14:paraId="7BE02660" w14:textId="77777777" w:rsidR="00376798" w:rsidRPr="00317FB7" w:rsidRDefault="00376798" w:rsidP="00683A6F">
      <w:pPr>
        <w:rPr>
          <w:rFonts w:ascii="Arial" w:hAnsi="Arial" w:cs="Arial"/>
          <w:bCs/>
        </w:rPr>
      </w:pPr>
      <w:r w:rsidRPr="00317FB7">
        <w:rPr>
          <w:rFonts w:ascii="Arial" w:hAnsi="Arial" w:cs="Arial"/>
          <w:bCs/>
        </w:rPr>
        <w:t>The proposed contribution would fund:</w:t>
      </w:r>
    </w:p>
    <w:p w14:paraId="1809C693" w14:textId="49D5F123" w:rsidR="00376798" w:rsidRPr="00317FB7" w:rsidRDefault="00376798" w:rsidP="00376798">
      <w:pPr>
        <w:pStyle w:val="ListParagraph"/>
        <w:numPr>
          <w:ilvl w:val="0"/>
          <w:numId w:val="17"/>
        </w:numPr>
        <w:rPr>
          <w:rFonts w:ascii="Arial" w:hAnsi="Arial" w:cs="Arial"/>
        </w:rPr>
      </w:pPr>
      <w:r w:rsidRPr="00317FB7">
        <w:rPr>
          <w:rFonts w:ascii="Arial" w:hAnsi="Arial" w:cs="Arial"/>
        </w:rPr>
        <w:t>Continuation of annual contribution of £0.010m to the Norfolk Governors Network</w:t>
      </w:r>
    </w:p>
    <w:p w14:paraId="291BE375" w14:textId="7737D0AA" w:rsidR="00AF6E48" w:rsidRPr="00317FB7" w:rsidRDefault="00376798" w:rsidP="00376798">
      <w:pPr>
        <w:pStyle w:val="ListParagraph"/>
        <w:numPr>
          <w:ilvl w:val="0"/>
          <w:numId w:val="17"/>
        </w:numPr>
        <w:rPr>
          <w:rFonts w:ascii="Arial" w:hAnsi="Arial" w:cs="Arial"/>
        </w:rPr>
      </w:pPr>
      <w:r w:rsidRPr="00317FB7">
        <w:rPr>
          <w:rFonts w:ascii="Arial" w:hAnsi="Arial" w:cs="Arial"/>
        </w:rPr>
        <w:t>Continuation of annual contribution of £</w:t>
      </w:r>
      <w:r w:rsidR="1B5B89CC" w:rsidRPr="00317FB7">
        <w:rPr>
          <w:rFonts w:ascii="Arial" w:hAnsi="Arial" w:cs="Arial"/>
        </w:rPr>
        <w:t xml:space="preserve">0.010m </w:t>
      </w:r>
      <w:r w:rsidRPr="00317FB7">
        <w:rPr>
          <w:rFonts w:ascii="Arial" w:hAnsi="Arial" w:cs="Arial"/>
        </w:rPr>
        <w:t>to the Norfolk Association of Special School Heads</w:t>
      </w:r>
    </w:p>
    <w:p w14:paraId="25A44A58" w14:textId="154C5D9A" w:rsidR="00AF6E48" w:rsidRPr="00317FB7" w:rsidRDefault="00AF6E48" w:rsidP="00317FB7">
      <w:pPr>
        <w:pStyle w:val="ListParagraph"/>
        <w:numPr>
          <w:ilvl w:val="0"/>
          <w:numId w:val="17"/>
        </w:numPr>
        <w:rPr>
          <w:rFonts w:ascii="Arial" w:hAnsi="Arial" w:cs="Arial"/>
        </w:rPr>
      </w:pPr>
      <w:r w:rsidRPr="00317FB7">
        <w:rPr>
          <w:rFonts w:ascii="Arial" w:hAnsi="Arial" w:cs="Arial"/>
        </w:rPr>
        <w:t>Continuation of annual contribution of £0.050m to Educate Norfolk</w:t>
      </w:r>
      <w:r w:rsidR="00317FB7" w:rsidRPr="00317FB7">
        <w:rPr>
          <w:rFonts w:ascii="Arial" w:hAnsi="Arial" w:cs="Arial"/>
        </w:rPr>
        <w:t xml:space="preserve"> - School's Forum is asked to continue to support Educate Norfolk to be a representative group for all Norfolk schools, which is not dependent on additional subscription or purchase of additional services the group may choose to provide.  The contribution will cover administration, licences, infrastructure and venue costs to support work which benefits</w:t>
      </w:r>
    </w:p>
    <w:p w14:paraId="1C50E017" w14:textId="3433BB89" w:rsidR="00722606" w:rsidRPr="00317FB7" w:rsidRDefault="00317FB7" w:rsidP="00F86EC9">
      <w:pPr>
        <w:pStyle w:val="ListParagraph"/>
        <w:numPr>
          <w:ilvl w:val="0"/>
          <w:numId w:val="17"/>
        </w:numPr>
        <w:rPr>
          <w:rFonts w:ascii="Arial" w:hAnsi="Arial" w:cs="Arial"/>
        </w:rPr>
      </w:pPr>
      <w:r w:rsidRPr="00317FB7">
        <w:rPr>
          <w:rFonts w:ascii="Arial" w:hAnsi="Arial" w:cs="Arial"/>
        </w:rPr>
        <w:t xml:space="preserve">Remainder to contribute </w:t>
      </w:r>
      <w:r w:rsidR="00FE571C" w:rsidRPr="00317FB7">
        <w:rPr>
          <w:rFonts w:ascii="Arial" w:hAnsi="Arial" w:cs="Arial"/>
        </w:rPr>
        <w:t xml:space="preserve">to the leadership </w:t>
      </w:r>
      <w:r w:rsidR="16909214" w:rsidRPr="00317FB7">
        <w:rPr>
          <w:rFonts w:ascii="Arial" w:hAnsi="Arial" w:cs="Arial"/>
        </w:rPr>
        <w:t>role</w:t>
      </w:r>
      <w:r w:rsidR="52998171" w:rsidRPr="00317FB7">
        <w:rPr>
          <w:rFonts w:ascii="Arial" w:hAnsi="Arial" w:cs="Arial"/>
        </w:rPr>
        <w:t>s</w:t>
      </w:r>
      <w:r w:rsidR="00FE571C" w:rsidRPr="00317FB7">
        <w:rPr>
          <w:rFonts w:ascii="Arial" w:hAnsi="Arial" w:cs="Arial"/>
        </w:rPr>
        <w:t xml:space="preserve"> undertaken by </w:t>
      </w:r>
      <w:r w:rsidR="000D123B" w:rsidRPr="00317FB7">
        <w:rPr>
          <w:rFonts w:ascii="Arial" w:hAnsi="Arial" w:cs="Arial"/>
        </w:rPr>
        <w:t xml:space="preserve">school leaders, the Executive Director of Children’s Services and the </w:t>
      </w:r>
      <w:r w:rsidR="0DE3FD8B" w:rsidRPr="00317FB7">
        <w:rPr>
          <w:rFonts w:ascii="Arial" w:hAnsi="Arial" w:cs="Arial"/>
        </w:rPr>
        <w:t>Children’s Services</w:t>
      </w:r>
      <w:r w:rsidR="000D123B" w:rsidRPr="00317FB7">
        <w:rPr>
          <w:rFonts w:ascii="Arial" w:hAnsi="Arial" w:cs="Arial"/>
        </w:rPr>
        <w:t xml:space="preserve"> </w:t>
      </w:r>
      <w:r w:rsidR="0DE3FD8B" w:rsidRPr="00317FB7">
        <w:rPr>
          <w:rFonts w:ascii="Arial" w:hAnsi="Arial" w:cs="Arial"/>
        </w:rPr>
        <w:t>Leadership Team</w:t>
      </w:r>
      <w:r w:rsidR="79A19A7C" w:rsidRPr="00317FB7">
        <w:rPr>
          <w:rFonts w:ascii="Arial" w:hAnsi="Arial" w:cs="Arial"/>
        </w:rPr>
        <w:t xml:space="preserve"> </w:t>
      </w:r>
      <w:r w:rsidR="000D123B" w:rsidRPr="00317FB7">
        <w:rPr>
          <w:rFonts w:ascii="Arial" w:hAnsi="Arial" w:cs="Arial"/>
        </w:rPr>
        <w:t xml:space="preserve">who </w:t>
      </w:r>
      <w:r w:rsidR="5144481B" w:rsidRPr="00317FB7">
        <w:rPr>
          <w:rFonts w:ascii="Arial" w:hAnsi="Arial" w:cs="Arial"/>
        </w:rPr>
        <w:t>n</w:t>
      </w:r>
      <w:r w:rsidR="16DD10E7" w:rsidRPr="00317FB7">
        <w:rPr>
          <w:rFonts w:ascii="Arial" w:hAnsi="Arial" w:cs="Arial"/>
        </w:rPr>
        <w:t xml:space="preserve">ow jointly have responsibility for the development of learning and inclusion in Norfolk as part of the new integrated management </w:t>
      </w:r>
      <w:r w:rsidRPr="00317FB7">
        <w:rPr>
          <w:rFonts w:ascii="Arial" w:hAnsi="Arial" w:cs="Arial"/>
        </w:rPr>
        <w:t>arrangements</w:t>
      </w:r>
      <w:r w:rsidR="16DD10E7" w:rsidRPr="00317FB7">
        <w:rPr>
          <w:rFonts w:ascii="Arial" w:hAnsi="Arial" w:cs="Arial"/>
        </w:rPr>
        <w:t>.</w:t>
      </w:r>
    </w:p>
    <w:p w14:paraId="62740BD9" w14:textId="77777777" w:rsidR="0018016A" w:rsidRPr="00317FB7" w:rsidRDefault="0018016A" w:rsidP="0018016A">
      <w:pPr>
        <w:rPr>
          <w:rFonts w:ascii="Arial" w:hAnsi="Arial" w:cs="Arial"/>
          <w:bCs/>
        </w:rPr>
      </w:pPr>
    </w:p>
    <w:p w14:paraId="1894915E" w14:textId="6B5A7668" w:rsidR="0018016A" w:rsidRPr="00317FB7" w:rsidRDefault="0018016A" w:rsidP="0018016A">
      <w:pPr>
        <w:rPr>
          <w:rFonts w:ascii="Arial" w:hAnsi="Arial" w:cs="Arial"/>
          <w:bCs/>
        </w:rPr>
      </w:pPr>
      <w:r w:rsidRPr="00317FB7">
        <w:rPr>
          <w:rFonts w:ascii="Arial" w:hAnsi="Arial" w:cs="Arial"/>
          <w:bCs/>
        </w:rPr>
        <w:t xml:space="preserve">Without this contribution, the Local Authority would need to </w:t>
      </w:r>
      <w:r w:rsidR="002050BF" w:rsidRPr="00317FB7">
        <w:rPr>
          <w:rFonts w:ascii="Arial" w:hAnsi="Arial" w:cs="Arial"/>
          <w:bCs/>
        </w:rPr>
        <w:t xml:space="preserve">identify the equivalent budget reductions from existing learning and inclusion related services to enable the </w:t>
      </w:r>
      <w:r w:rsidR="00E20690" w:rsidRPr="00317FB7">
        <w:rPr>
          <w:rFonts w:ascii="Arial" w:hAnsi="Arial" w:cs="Arial"/>
          <w:bCs/>
        </w:rPr>
        <w:t xml:space="preserve">required leadership </w:t>
      </w:r>
      <w:r w:rsidR="40CCDA74" w:rsidRPr="00317FB7">
        <w:rPr>
          <w:rFonts w:ascii="Arial" w:hAnsi="Arial" w:cs="Arial"/>
        </w:rPr>
        <w:t>role</w:t>
      </w:r>
      <w:r w:rsidR="77001119" w:rsidRPr="00317FB7">
        <w:rPr>
          <w:rFonts w:ascii="Arial" w:hAnsi="Arial" w:cs="Arial"/>
        </w:rPr>
        <w:t>s</w:t>
      </w:r>
      <w:r w:rsidR="00E20690" w:rsidRPr="00317FB7">
        <w:rPr>
          <w:rFonts w:ascii="Arial" w:hAnsi="Arial" w:cs="Arial"/>
          <w:bCs/>
        </w:rPr>
        <w:t xml:space="preserve"> to be fulfilled.</w:t>
      </w:r>
    </w:p>
    <w:p w14:paraId="18320C42" w14:textId="77777777" w:rsidR="0018016A" w:rsidRPr="0018016A" w:rsidRDefault="0018016A" w:rsidP="0018016A">
      <w:pPr>
        <w:rPr>
          <w:rFonts w:ascii="Arial" w:hAnsi="Arial" w:cs="Arial"/>
          <w:bCs/>
          <w:highlight w:val="yellow"/>
          <w:u w:val="single"/>
        </w:rPr>
      </w:pPr>
    </w:p>
    <w:p w14:paraId="4D59BA6E" w14:textId="58B438F1" w:rsidR="002E28EA" w:rsidRPr="00722606" w:rsidRDefault="002E28EA" w:rsidP="00683A6F">
      <w:pPr>
        <w:rPr>
          <w:rFonts w:ascii="Arial" w:hAnsi="Arial" w:cs="Arial"/>
          <w:b/>
        </w:rPr>
      </w:pPr>
      <w:r w:rsidRPr="00722606">
        <w:rPr>
          <w:rFonts w:ascii="Arial" w:hAnsi="Arial" w:cs="Arial"/>
          <w:b/>
        </w:rPr>
        <w:t xml:space="preserve">Schools Forum are requested to approve a continued contribution of £119,700 to </w:t>
      </w:r>
      <w:r w:rsidR="4C856E7D" w:rsidRPr="2321FED1">
        <w:rPr>
          <w:rFonts w:ascii="Arial" w:hAnsi="Arial" w:cs="Arial"/>
          <w:b/>
          <w:bCs/>
        </w:rPr>
        <w:t>l</w:t>
      </w:r>
      <w:r w:rsidR="593F6AE2" w:rsidRPr="2321FED1">
        <w:rPr>
          <w:rFonts w:ascii="Arial" w:hAnsi="Arial" w:cs="Arial"/>
          <w:b/>
          <w:bCs/>
        </w:rPr>
        <w:t>earning</w:t>
      </w:r>
      <w:r w:rsidRPr="00722606">
        <w:rPr>
          <w:rFonts w:ascii="Arial" w:hAnsi="Arial" w:cs="Arial"/>
          <w:b/>
        </w:rPr>
        <w:t xml:space="preserve"> and </w:t>
      </w:r>
      <w:r w:rsidR="06482E21" w:rsidRPr="5F6FE51D">
        <w:rPr>
          <w:rFonts w:ascii="Arial" w:hAnsi="Arial" w:cs="Arial"/>
          <w:b/>
          <w:bCs/>
        </w:rPr>
        <w:t>i</w:t>
      </w:r>
      <w:r w:rsidR="593F6AE2" w:rsidRPr="5F6FE51D">
        <w:rPr>
          <w:rFonts w:ascii="Arial" w:hAnsi="Arial" w:cs="Arial"/>
          <w:b/>
          <w:bCs/>
        </w:rPr>
        <w:t>nclusion</w:t>
      </w:r>
      <w:r w:rsidRPr="00722606">
        <w:rPr>
          <w:rFonts w:ascii="Arial" w:hAnsi="Arial" w:cs="Arial"/>
          <w:b/>
        </w:rPr>
        <w:t xml:space="preserve"> </w:t>
      </w:r>
      <w:r w:rsidR="00722606" w:rsidRPr="00722606">
        <w:rPr>
          <w:rFonts w:ascii="Arial" w:hAnsi="Arial" w:cs="Arial"/>
          <w:b/>
        </w:rPr>
        <w:t>towards the central budgets to enable leadership, improvement and strategy work, contributions towards head teacher and educational conferences.</w:t>
      </w:r>
    </w:p>
    <w:p w14:paraId="0EEE9862" w14:textId="77777777" w:rsidR="002E28EA" w:rsidRDefault="002E28EA" w:rsidP="00683A6F">
      <w:pPr>
        <w:rPr>
          <w:rFonts w:ascii="Arial" w:hAnsi="Arial" w:cs="Arial"/>
          <w:b/>
          <w:highlight w:val="yellow"/>
          <w:u w:val="single"/>
        </w:rPr>
      </w:pPr>
    </w:p>
    <w:p w14:paraId="07E396B0" w14:textId="172D49D7" w:rsidR="00B71B1A" w:rsidRPr="00B71B1A" w:rsidRDefault="00B71B1A" w:rsidP="00B71B1A">
      <w:pPr>
        <w:rPr>
          <w:rFonts w:ascii="Arial" w:hAnsi="Arial" w:cs="Arial"/>
          <w:b/>
          <w:bCs/>
          <w:u w:val="single"/>
        </w:rPr>
      </w:pPr>
      <w:r w:rsidRPr="00B71B1A">
        <w:rPr>
          <w:rFonts w:ascii="Arial" w:hAnsi="Arial" w:cs="Arial"/>
          <w:b/>
          <w:bCs/>
          <w:u w:val="single"/>
        </w:rPr>
        <w:t>LA responsibilities held for all schools</w:t>
      </w:r>
      <w:r w:rsidR="00861F8D">
        <w:rPr>
          <w:rFonts w:ascii="Arial" w:hAnsi="Arial" w:cs="Arial"/>
          <w:b/>
          <w:bCs/>
          <w:u w:val="single"/>
        </w:rPr>
        <w:t xml:space="preserve"> - £2,</w:t>
      </w:r>
      <w:r w:rsidR="007B290D">
        <w:rPr>
          <w:rFonts w:ascii="Arial" w:hAnsi="Arial" w:cs="Arial"/>
          <w:b/>
          <w:bCs/>
          <w:u w:val="single"/>
        </w:rPr>
        <w:t>499,893</w:t>
      </w:r>
    </w:p>
    <w:p w14:paraId="4A9FBA4E" w14:textId="77777777" w:rsidR="00B71B1A" w:rsidRDefault="00B71B1A" w:rsidP="00B71B1A">
      <w:pPr>
        <w:rPr>
          <w:rFonts w:ascii="Arial" w:hAnsi="Arial" w:cs="Arial"/>
        </w:rPr>
      </w:pPr>
    </w:p>
    <w:p w14:paraId="5A2B23AB" w14:textId="159BB337" w:rsidR="00B71B1A" w:rsidRPr="00ED1C00" w:rsidRDefault="00D40DFF" w:rsidP="00683A6F">
      <w:pPr>
        <w:rPr>
          <w:rFonts w:ascii="Arial" w:hAnsi="Arial" w:cs="Arial"/>
        </w:rPr>
      </w:pPr>
      <w:r w:rsidRPr="00ED1C00">
        <w:rPr>
          <w:rFonts w:ascii="Arial" w:hAnsi="Arial" w:cs="Arial"/>
        </w:rPr>
        <w:t>See Annex A for the list of responsibilities held by the LA for all schools.</w:t>
      </w:r>
    </w:p>
    <w:p w14:paraId="735236F2" w14:textId="5242E92A" w:rsidR="00B71B1A" w:rsidRPr="00ED1C00" w:rsidRDefault="00B71B1A" w:rsidP="00683A6F">
      <w:pPr>
        <w:rPr>
          <w:rFonts w:ascii="Arial" w:hAnsi="Arial" w:cs="Arial"/>
          <w:b/>
          <w:u w:val="single"/>
        </w:rPr>
      </w:pPr>
    </w:p>
    <w:p w14:paraId="61329379" w14:textId="55C6F788" w:rsidR="00DB7486" w:rsidRPr="00ED1C00" w:rsidRDefault="00CE06F7" w:rsidP="00683A6F">
      <w:pPr>
        <w:rPr>
          <w:rFonts w:ascii="Arial" w:hAnsi="Arial" w:cs="Arial"/>
        </w:rPr>
      </w:pPr>
      <w:r w:rsidRPr="00ED1C00">
        <w:rPr>
          <w:rFonts w:ascii="Arial" w:hAnsi="Arial" w:cs="Arial"/>
        </w:rPr>
        <w:t xml:space="preserve">At the Schools Forum </w:t>
      </w:r>
      <w:r w:rsidR="004009CC" w:rsidRPr="00ED1C00">
        <w:rPr>
          <w:rFonts w:ascii="Arial" w:hAnsi="Arial" w:cs="Arial"/>
        </w:rPr>
        <w:t xml:space="preserve">November 2022 </w:t>
      </w:r>
      <w:r w:rsidRPr="00ED1C00">
        <w:rPr>
          <w:rFonts w:ascii="Arial" w:hAnsi="Arial" w:cs="Arial"/>
        </w:rPr>
        <w:t>meeting</w:t>
      </w:r>
      <w:r w:rsidR="004009CC" w:rsidRPr="00ED1C00">
        <w:rPr>
          <w:rFonts w:ascii="Arial" w:hAnsi="Arial" w:cs="Arial"/>
        </w:rPr>
        <w:t xml:space="preserve">, the LA were asked to provide further information regarding how these funds </w:t>
      </w:r>
      <w:r w:rsidR="0085152B" w:rsidRPr="00ED1C00">
        <w:rPr>
          <w:rFonts w:ascii="Arial" w:hAnsi="Arial" w:cs="Arial"/>
        </w:rPr>
        <w:t xml:space="preserve">are utilised </w:t>
      </w:r>
      <w:r w:rsidR="00E47993" w:rsidRPr="00ED1C00">
        <w:rPr>
          <w:rFonts w:ascii="Arial" w:hAnsi="Arial" w:cs="Arial"/>
        </w:rPr>
        <w:t>to deliver the responsibilities held</w:t>
      </w:r>
      <w:r w:rsidR="00DB7486" w:rsidRPr="00ED1C00">
        <w:rPr>
          <w:rFonts w:ascii="Arial" w:hAnsi="Arial" w:cs="Arial"/>
        </w:rPr>
        <w:t xml:space="preserve"> by the LA and detailed in Annex A for reference purposes.</w:t>
      </w:r>
    </w:p>
    <w:p w14:paraId="64AE497A" w14:textId="77777777" w:rsidR="00DB7486" w:rsidRPr="00ED1C00" w:rsidRDefault="00DB7486" w:rsidP="00683A6F">
      <w:pPr>
        <w:rPr>
          <w:rFonts w:ascii="Arial" w:hAnsi="Arial" w:cs="Arial"/>
        </w:rPr>
      </w:pPr>
    </w:p>
    <w:p w14:paraId="523EFA0A" w14:textId="7F960B99" w:rsidR="00372F93" w:rsidRPr="00ED1C00" w:rsidRDefault="00870245" w:rsidP="00683A6F">
      <w:pPr>
        <w:rPr>
          <w:rFonts w:ascii="Arial" w:hAnsi="Arial" w:cs="Arial"/>
        </w:rPr>
      </w:pPr>
      <w:r w:rsidRPr="00ED1C00">
        <w:rPr>
          <w:rFonts w:ascii="Arial" w:hAnsi="Arial" w:cs="Arial"/>
        </w:rPr>
        <w:t xml:space="preserve">It is not possible to specifically identify services areas / provision that is funded by the Central Services Schools Block as </w:t>
      </w:r>
      <w:r w:rsidR="00257025" w:rsidRPr="00ED1C00">
        <w:rPr>
          <w:rFonts w:ascii="Arial" w:hAnsi="Arial" w:cs="Arial"/>
        </w:rPr>
        <w:t xml:space="preserve">budgeting is undertaken at an overall level with a </w:t>
      </w:r>
      <w:r w:rsidR="00257025" w:rsidRPr="00ED1C00">
        <w:rPr>
          <w:rFonts w:ascii="Arial" w:hAnsi="Arial" w:cs="Arial"/>
        </w:rPr>
        <w:lastRenderedPageBreak/>
        <w:t xml:space="preserve">significant contribution from the County Council.  </w:t>
      </w:r>
      <w:r w:rsidR="00C45B97">
        <w:rPr>
          <w:rFonts w:ascii="Arial" w:hAnsi="Arial" w:cs="Arial"/>
          <w:bCs/>
        </w:rPr>
        <w:t>Steps have been taken to ex</w:t>
      </w:r>
      <w:r w:rsidR="00C45B97" w:rsidRPr="00C45B97">
        <w:rPr>
          <w:rFonts w:ascii="Arial" w:hAnsi="Arial" w:cs="Arial"/>
          <w:bCs/>
        </w:rPr>
        <w:t>clude</w:t>
      </w:r>
      <w:r w:rsidR="00C45B97">
        <w:rPr>
          <w:rFonts w:ascii="Arial" w:hAnsi="Arial" w:cs="Arial"/>
          <w:bCs/>
        </w:rPr>
        <w:t xml:space="preserve"> </w:t>
      </w:r>
      <w:r w:rsidR="00C45B97" w:rsidRPr="00C45B97">
        <w:rPr>
          <w:rFonts w:ascii="Arial" w:hAnsi="Arial" w:cs="Arial"/>
          <w:bCs/>
        </w:rPr>
        <w:t>elements required to be local authority funded</w:t>
      </w:r>
      <w:r w:rsidR="00C45B97">
        <w:rPr>
          <w:rFonts w:ascii="Arial" w:hAnsi="Arial" w:cs="Arial"/>
          <w:bCs/>
        </w:rPr>
        <w:t>,</w:t>
      </w:r>
      <w:r w:rsidR="00C45B97" w:rsidRPr="00C45B97">
        <w:rPr>
          <w:rFonts w:ascii="Arial" w:hAnsi="Arial" w:cs="Arial"/>
          <w:bCs/>
        </w:rPr>
        <w:t xml:space="preserve"> such as high needs leadership, assessment and casework.  Budgets provided are net budgets as some services have traded elements.</w:t>
      </w:r>
      <w:r w:rsidR="00C45B97">
        <w:rPr>
          <w:rFonts w:ascii="Arial" w:hAnsi="Arial" w:cs="Arial"/>
          <w:bCs/>
        </w:rPr>
        <w:t xml:space="preserve">  </w:t>
      </w:r>
      <w:r w:rsidR="00257025" w:rsidRPr="00ED1C00">
        <w:rPr>
          <w:rFonts w:ascii="Arial" w:hAnsi="Arial" w:cs="Arial"/>
        </w:rPr>
        <w:t>However, t</w:t>
      </w:r>
      <w:r w:rsidR="00045B38" w:rsidRPr="00ED1C00">
        <w:rPr>
          <w:rFonts w:ascii="Arial" w:hAnsi="Arial" w:cs="Arial"/>
        </w:rPr>
        <w:t xml:space="preserve">he table </w:t>
      </w:r>
      <w:r w:rsidR="00372F93" w:rsidRPr="00ED1C00">
        <w:rPr>
          <w:rFonts w:ascii="Arial" w:hAnsi="Arial" w:cs="Arial"/>
        </w:rPr>
        <w:t xml:space="preserve">below </w:t>
      </w:r>
      <w:r w:rsidR="00DD0235" w:rsidRPr="00ED1C00">
        <w:rPr>
          <w:rFonts w:ascii="Arial" w:hAnsi="Arial" w:cs="Arial"/>
        </w:rPr>
        <w:t xml:space="preserve">provides a summary of the areas of </w:t>
      </w:r>
      <w:r w:rsidR="00F739C8" w:rsidRPr="00ED1C00">
        <w:rPr>
          <w:rFonts w:ascii="Arial" w:hAnsi="Arial" w:cs="Arial"/>
        </w:rPr>
        <w:t xml:space="preserve">relevant budget for 2022-23 </w:t>
      </w:r>
      <w:r w:rsidR="00372F93" w:rsidRPr="00ED1C00">
        <w:rPr>
          <w:rFonts w:ascii="Arial" w:hAnsi="Arial" w:cs="Arial"/>
        </w:rPr>
        <w:t>and the associated funding sources:</w:t>
      </w:r>
    </w:p>
    <w:p w14:paraId="2201604D" w14:textId="77777777" w:rsidR="00E10E88" w:rsidRPr="00ED1C00" w:rsidRDefault="00E10E88" w:rsidP="00683A6F">
      <w:pPr>
        <w:rPr>
          <w:rFonts w:ascii="Arial" w:hAnsi="Arial" w:cs="Arial"/>
          <w:b/>
          <w:u w:val="single"/>
        </w:rPr>
      </w:pPr>
    </w:p>
    <w:tbl>
      <w:tblPr>
        <w:tblW w:w="8500" w:type="dxa"/>
        <w:tblLook w:val="04A0" w:firstRow="1" w:lastRow="0" w:firstColumn="1" w:lastColumn="0" w:noHBand="0" w:noVBand="1"/>
      </w:tblPr>
      <w:tblGrid>
        <w:gridCol w:w="6360"/>
        <w:gridCol w:w="2140"/>
      </w:tblGrid>
      <w:tr w:rsidR="00FE6AEA" w:rsidRPr="00FE6AEA" w14:paraId="7B70E4C7" w14:textId="77777777" w:rsidTr="00E10E88">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13B1" w14:textId="77777777" w:rsidR="00FE6AEA" w:rsidRPr="00FE6AEA" w:rsidRDefault="00FE6AEA" w:rsidP="00FE6AEA">
            <w:pPr>
              <w:rPr>
                <w:rFonts w:ascii="Arial" w:hAnsi="Arial" w:cs="Arial"/>
                <w:b/>
                <w:color w:val="000000"/>
                <w:lang w:eastAsia="en-GB"/>
              </w:rPr>
            </w:pPr>
            <w:r w:rsidRPr="00FE6AEA">
              <w:rPr>
                <w:rFonts w:ascii="Arial" w:hAnsi="Arial" w:cs="Arial"/>
                <w:b/>
                <w:color w:val="000000"/>
                <w:lang w:eastAsia="en-GB"/>
              </w:rPr>
              <w:t>Service Area</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1EA357ED" w14:textId="77777777" w:rsidR="00FE6AEA" w:rsidRPr="00FE6AEA" w:rsidRDefault="00FE6AEA" w:rsidP="00FE6AEA">
            <w:pPr>
              <w:rPr>
                <w:rFonts w:ascii="Arial" w:hAnsi="Arial" w:cs="Arial"/>
                <w:b/>
                <w:color w:val="000000"/>
                <w:lang w:eastAsia="en-GB"/>
              </w:rPr>
            </w:pPr>
            <w:r w:rsidRPr="00FE6AEA">
              <w:rPr>
                <w:rFonts w:ascii="Arial" w:hAnsi="Arial" w:cs="Arial"/>
                <w:b/>
                <w:color w:val="000000"/>
                <w:lang w:eastAsia="en-GB"/>
              </w:rPr>
              <w:t>Net Budget, £m</w:t>
            </w:r>
          </w:p>
        </w:tc>
      </w:tr>
      <w:tr w:rsidR="00FE6AEA" w:rsidRPr="00FE6AEA" w14:paraId="7880319C"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505A3A6"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School infrastructure &amp; organisation, place planning</w:t>
            </w:r>
          </w:p>
        </w:tc>
        <w:tc>
          <w:tcPr>
            <w:tcW w:w="2140" w:type="dxa"/>
            <w:tcBorders>
              <w:top w:val="nil"/>
              <w:left w:val="nil"/>
              <w:bottom w:val="single" w:sz="4" w:space="0" w:color="auto"/>
              <w:right w:val="single" w:sz="4" w:space="0" w:color="auto"/>
            </w:tcBorders>
            <w:shd w:val="clear" w:color="auto" w:fill="auto"/>
            <w:noWrap/>
            <w:vAlign w:val="bottom"/>
            <w:hideMark/>
          </w:tcPr>
          <w:p w14:paraId="3463ECCD"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0.718</w:t>
            </w:r>
          </w:p>
        </w:tc>
      </w:tr>
      <w:tr w:rsidR="00FE6AEA" w:rsidRPr="00FE6AEA" w14:paraId="4AA42560"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8FC3644"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Inclusion and fair access</w:t>
            </w:r>
          </w:p>
        </w:tc>
        <w:tc>
          <w:tcPr>
            <w:tcW w:w="2140" w:type="dxa"/>
            <w:tcBorders>
              <w:top w:val="nil"/>
              <w:left w:val="nil"/>
              <w:bottom w:val="single" w:sz="4" w:space="0" w:color="auto"/>
              <w:right w:val="single" w:sz="4" w:space="0" w:color="auto"/>
            </w:tcBorders>
            <w:shd w:val="clear" w:color="auto" w:fill="auto"/>
            <w:noWrap/>
            <w:vAlign w:val="bottom"/>
            <w:hideMark/>
          </w:tcPr>
          <w:p w14:paraId="2EBAADA3"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0.659</w:t>
            </w:r>
          </w:p>
        </w:tc>
      </w:tr>
      <w:tr w:rsidR="00FE6AEA" w:rsidRPr="00FE6AEA" w14:paraId="02210A46"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63AA194"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Achievement, curriculum, moderation and assessment</w:t>
            </w:r>
          </w:p>
        </w:tc>
        <w:tc>
          <w:tcPr>
            <w:tcW w:w="2140" w:type="dxa"/>
            <w:tcBorders>
              <w:top w:val="nil"/>
              <w:left w:val="nil"/>
              <w:bottom w:val="single" w:sz="4" w:space="0" w:color="auto"/>
              <w:right w:val="single" w:sz="4" w:space="0" w:color="auto"/>
            </w:tcBorders>
            <w:shd w:val="clear" w:color="auto" w:fill="auto"/>
            <w:noWrap/>
            <w:vAlign w:val="bottom"/>
            <w:hideMark/>
          </w:tcPr>
          <w:p w14:paraId="62556C1A"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0.443</w:t>
            </w:r>
          </w:p>
        </w:tc>
      </w:tr>
      <w:tr w:rsidR="00FE6AEA" w:rsidRPr="00FE6AEA" w14:paraId="41ECEB95"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893D753"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Participation, transition and inclusion</w:t>
            </w:r>
          </w:p>
        </w:tc>
        <w:tc>
          <w:tcPr>
            <w:tcW w:w="2140" w:type="dxa"/>
            <w:tcBorders>
              <w:top w:val="nil"/>
              <w:left w:val="nil"/>
              <w:bottom w:val="single" w:sz="4" w:space="0" w:color="auto"/>
              <w:right w:val="single" w:sz="4" w:space="0" w:color="auto"/>
            </w:tcBorders>
            <w:shd w:val="clear" w:color="auto" w:fill="auto"/>
            <w:noWrap/>
            <w:vAlign w:val="bottom"/>
            <w:hideMark/>
          </w:tcPr>
          <w:p w14:paraId="6AB87853"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1.476</w:t>
            </w:r>
          </w:p>
        </w:tc>
      </w:tr>
      <w:tr w:rsidR="00FE6AEA" w:rsidRPr="00FE6AEA" w14:paraId="02DE2F85"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9168E64" w14:textId="77777777" w:rsidR="00FE6AEA" w:rsidRPr="00FE6AEA" w:rsidRDefault="00FE6AEA" w:rsidP="00FE6AEA">
            <w:pPr>
              <w:rPr>
                <w:rFonts w:ascii="Arial" w:hAnsi="Arial" w:cs="Arial"/>
                <w:lang w:eastAsia="en-GB"/>
              </w:rPr>
            </w:pPr>
            <w:r w:rsidRPr="00FE6AEA">
              <w:rPr>
                <w:rFonts w:ascii="Arial" w:hAnsi="Arial" w:cs="Arial"/>
                <w:lang w:eastAsia="en-GB"/>
              </w:rPr>
              <w:t>Virtual School LAC and previously LAC</w:t>
            </w:r>
          </w:p>
        </w:tc>
        <w:tc>
          <w:tcPr>
            <w:tcW w:w="2140" w:type="dxa"/>
            <w:tcBorders>
              <w:top w:val="nil"/>
              <w:left w:val="nil"/>
              <w:bottom w:val="single" w:sz="4" w:space="0" w:color="auto"/>
              <w:right w:val="single" w:sz="4" w:space="0" w:color="auto"/>
            </w:tcBorders>
            <w:shd w:val="clear" w:color="auto" w:fill="auto"/>
            <w:noWrap/>
            <w:vAlign w:val="bottom"/>
            <w:hideMark/>
          </w:tcPr>
          <w:p w14:paraId="3161754F"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0.568</w:t>
            </w:r>
          </w:p>
        </w:tc>
      </w:tr>
      <w:tr w:rsidR="00FE6AEA" w:rsidRPr="00FE6AEA" w14:paraId="6EE9A4D2"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0D1B04C" w14:textId="77777777" w:rsidR="00FE6AEA" w:rsidRPr="00FE6AEA" w:rsidRDefault="00FE6AEA" w:rsidP="00FE6AEA">
            <w:pPr>
              <w:rPr>
                <w:rFonts w:ascii="Arial" w:hAnsi="Arial" w:cs="Arial"/>
                <w:lang w:eastAsia="en-GB"/>
              </w:rPr>
            </w:pPr>
            <w:r w:rsidRPr="00FE6AEA">
              <w:rPr>
                <w:rFonts w:ascii="Arial" w:hAnsi="Arial" w:cs="Arial"/>
                <w:lang w:eastAsia="en-GB"/>
              </w:rPr>
              <w:t>School intervention &amp; improvement</w:t>
            </w:r>
          </w:p>
        </w:tc>
        <w:tc>
          <w:tcPr>
            <w:tcW w:w="2140" w:type="dxa"/>
            <w:tcBorders>
              <w:top w:val="nil"/>
              <w:left w:val="nil"/>
              <w:bottom w:val="single" w:sz="4" w:space="0" w:color="auto"/>
              <w:right w:val="single" w:sz="4" w:space="0" w:color="auto"/>
            </w:tcBorders>
            <w:shd w:val="clear" w:color="auto" w:fill="auto"/>
            <w:noWrap/>
            <w:vAlign w:val="bottom"/>
            <w:hideMark/>
          </w:tcPr>
          <w:p w14:paraId="2765292F"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1.110</w:t>
            </w:r>
          </w:p>
        </w:tc>
      </w:tr>
      <w:tr w:rsidR="00FE6AEA" w:rsidRPr="00FE6AEA" w14:paraId="29CEC8AC"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46507B3"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Attendance and Education Safeguarding</w:t>
            </w:r>
          </w:p>
        </w:tc>
        <w:tc>
          <w:tcPr>
            <w:tcW w:w="2140" w:type="dxa"/>
            <w:tcBorders>
              <w:top w:val="nil"/>
              <w:left w:val="nil"/>
              <w:bottom w:val="single" w:sz="4" w:space="0" w:color="auto"/>
              <w:right w:val="single" w:sz="4" w:space="0" w:color="auto"/>
            </w:tcBorders>
            <w:shd w:val="clear" w:color="auto" w:fill="auto"/>
            <w:noWrap/>
            <w:vAlign w:val="bottom"/>
            <w:hideMark/>
          </w:tcPr>
          <w:p w14:paraId="02E517CD"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0.545</w:t>
            </w:r>
          </w:p>
        </w:tc>
      </w:tr>
      <w:tr w:rsidR="00FE6AEA" w:rsidRPr="00FE6AEA" w14:paraId="603BA361"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CF546F9" w14:textId="77777777" w:rsidR="00FE6AEA" w:rsidRPr="00FE6AEA" w:rsidRDefault="00FE6AEA" w:rsidP="00FE6AEA">
            <w:pPr>
              <w:rPr>
                <w:rFonts w:ascii="Arial" w:hAnsi="Arial" w:cs="Arial"/>
                <w:lang w:eastAsia="en-GB"/>
              </w:rPr>
            </w:pPr>
            <w:r w:rsidRPr="00FE6AEA">
              <w:rPr>
                <w:rFonts w:ascii="Arial" w:hAnsi="Arial" w:cs="Arial"/>
                <w:lang w:eastAsia="en-GB"/>
              </w:rPr>
              <w:t>Strategic School Support</w:t>
            </w:r>
          </w:p>
        </w:tc>
        <w:tc>
          <w:tcPr>
            <w:tcW w:w="2140" w:type="dxa"/>
            <w:tcBorders>
              <w:top w:val="nil"/>
              <w:left w:val="nil"/>
              <w:bottom w:val="single" w:sz="4" w:space="0" w:color="auto"/>
              <w:right w:val="single" w:sz="4" w:space="0" w:color="auto"/>
            </w:tcBorders>
            <w:shd w:val="clear" w:color="auto" w:fill="auto"/>
            <w:noWrap/>
            <w:vAlign w:val="bottom"/>
            <w:hideMark/>
          </w:tcPr>
          <w:p w14:paraId="68B0C327"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0.419</w:t>
            </w:r>
          </w:p>
        </w:tc>
      </w:tr>
      <w:tr w:rsidR="00FE6AEA" w:rsidRPr="00FE6AEA" w14:paraId="47F4C016"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AF7B5E0"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Leadership</w:t>
            </w:r>
          </w:p>
        </w:tc>
        <w:tc>
          <w:tcPr>
            <w:tcW w:w="2140" w:type="dxa"/>
            <w:tcBorders>
              <w:top w:val="nil"/>
              <w:left w:val="nil"/>
              <w:bottom w:val="single" w:sz="4" w:space="0" w:color="auto"/>
              <w:right w:val="single" w:sz="4" w:space="0" w:color="auto"/>
            </w:tcBorders>
            <w:shd w:val="clear" w:color="auto" w:fill="auto"/>
            <w:noWrap/>
            <w:vAlign w:val="bottom"/>
            <w:hideMark/>
          </w:tcPr>
          <w:p w14:paraId="3C0932F5"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0.859</w:t>
            </w:r>
          </w:p>
        </w:tc>
      </w:tr>
      <w:tr w:rsidR="00FE6AEA" w:rsidRPr="00FE6AEA" w14:paraId="76D39002"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1379F917"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Services to Home Educators</w:t>
            </w:r>
          </w:p>
        </w:tc>
        <w:tc>
          <w:tcPr>
            <w:tcW w:w="2140" w:type="dxa"/>
            <w:tcBorders>
              <w:top w:val="nil"/>
              <w:left w:val="nil"/>
              <w:bottom w:val="single" w:sz="4" w:space="0" w:color="auto"/>
              <w:right w:val="single" w:sz="4" w:space="0" w:color="auto"/>
            </w:tcBorders>
            <w:shd w:val="clear" w:color="auto" w:fill="auto"/>
            <w:noWrap/>
            <w:vAlign w:val="bottom"/>
            <w:hideMark/>
          </w:tcPr>
          <w:p w14:paraId="4955ACD0"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0.064</w:t>
            </w:r>
          </w:p>
        </w:tc>
      </w:tr>
      <w:tr w:rsidR="00FE6AEA" w:rsidRPr="00FE6AEA" w14:paraId="64703205"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2D48A4DF"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Preventing Radicalisation</w:t>
            </w:r>
          </w:p>
        </w:tc>
        <w:tc>
          <w:tcPr>
            <w:tcW w:w="2140" w:type="dxa"/>
            <w:tcBorders>
              <w:top w:val="nil"/>
              <w:left w:val="nil"/>
              <w:bottom w:val="single" w:sz="4" w:space="0" w:color="auto"/>
              <w:right w:val="single" w:sz="4" w:space="0" w:color="auto"/>
            </w:tcBorders>
            <w:shd w:val="clear" w:color="auto" w:fill="auto"/>
            <w:noWrap/>
            <w:vAlign w:val="bottom"/>
            <w:hideMark/>
          </w:tcPr>
          <w:p w14:paraId="56E9DA80"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0.128</w:t>
            </w:r>
          </w:p>
        </w:tc>
      </w:tr>
      <w:tr w:rsidR="00FE6AEA" w:rsidRPr="00FE6AEA" w14:paraId="359090CB"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3F3BDBA2" w14:textId="77777777" w:rsidR="00FE6AEA" w:rsidRPr="00FE6AEA" w:rsidRDefault="00FE6AEA" w:rsidP="00FE6AEA">
            <w:pPr>
              <w:rPr>
                <w:rFonts w:ascii="Arial" w:hAnsi="Arial" w:cs="Arial"/>
                <w:b/>
                <w:color w:val="000000"/>
                <w:lang w:eastAsia="en-GB"/>
              </w:rPr>
            </w:pPr>
            <w:r w:rsidRPr="00FE6AEA">
              <w:rPr>
                <w:rFonts w:ascii="Arial" w:hAnsi="Arial" w:cs="Arial"/>
                <w:b/>
                <w:color w:val="000000"/>
                <w:lang w:eastAsia="en-GB"/>
              </w:rPr>
              <w:t>Total</w:t>
            </w:r>
          </w:p>
        </w:tc>
        <w:tc>
          <w:tcPr>
            <w:tcW w:w="2140" w:type="dxa"/>
            <w:tcBorders>
              <w:top w:val="nil"/>
              <w:left w:val="nil"/>
              <w:bottom w:val="single" w:sz="4" w:space="0" w:color="auto"/>
              <w:right w:val="single" w:sz="4" w:space="0" w:color="auto"/>
            </w:tcBorders>
            <w:shd w:val="clear" w:color="auto" w:fill="auto"/>
            <w:noWrap/>
            <w:vAlign w:val="bottom"/>
            <w:hideMark/>
          </w:tcPr>
          <w:p w14:paraId="7665AC51" w14:textId="77777777" w:rsidR="00FE6AEA" w:rsidRPr="00FE6AEA" w:rsidRDefault="00FE6AEA" w:rsidP="00FE6AEA">
            <w:pPr>
              <w:jc w:val="right"/>
              <w:rPr>
                <w:rFonts w:ascii="Arial" w:hAnsi="Arial" w:cs="Arial"/>
                <w:b/>
                <w:color w:val="000000"/>
                <w:lang w:eastAsia="en-GB"/>
              </w:rPr>
            </w:pPr>
            <w:r w:rsidRPr="00FE6AEA">
              <w:rPr>
                <w:rFonts w:ascii="Arial" w:hAnsi="Arial" w:cs="Arial"/>
                <w:b/>
                <w:color w:val="000000"/>
                <w:lang w:eastAsia="en-GB"/>
              </w:rPr>
              <w:t>6.989</w:t>
            </w:r>
          </w:p>
        </w:tc>
      </w:tr>
      <w:tr w:rsidR="00FE6AEA" w:rsidRPr="00FE6AEA" w14:paraId="5DA9837C"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060F8ED8" w14:textId="77777777"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Less 22/23 Monitoring &amp; Improvement grant</w:t>
            </w:r>
          </w:p>
        </w:tc>
        <w:tc>
          <w:tcPr>
            <w:tcW w:w="2140" w:type="dxa"/>
            <w:tcBorders>
              <w:top w:val="nil"/>
              <w:left w:val="nil"/>
              <w:bottom w:val="single" w:sz="4" w:space="0" w:color="auto"/>
              <w:right w:val="single" w:sz="4" w:space="0" w:color="auto"/>
            </w:tcBorders>
            <w:shd w:val="clear" w:color="auto" w:fill="auto"/>
            <w:noWrap/>
            <w:vAlign w:val="bottom"/>
            <w:hideMark/>
          </w:tcPr>
          <w:p w14:paraId="1DE7B8CE"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-0.296</w:t>
            </w:r>
          </w:p>
        </w:tc>
      </w:tr>
      <w:tr w:rsidR="00FE6AEA" w:rsidRPr="00FE6AEA" w14:paraId="39A4134B"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4B262548" w14:textId="36AA070B" w:rsidR="00FE6AEA" w:rsidRPr="00FE6AEA" w:rsidRDefault="00FE6AEA" w:rsidP="00FE6AEA">
            <w:pPr>
              <w:rPr>
                <w:rFonts w:ascii="Arial" w:hAnsi="Arial" w:cs="Arial"/>
                <w:color w:val="000000"/>
                <w:lang w:eastAsia="en-GB"/>
              </w:rPr>
            </w:pPr>
            <w:r w:rsidRPr="00FE6AEA">
              <w:rPr>
                <w:rFonts w:ascii="Arial" w:hAnsi="Arial" w:cs="Arial"/>
                <w:color w:val="000000"/>
                <w:lang w:eastAsia="en-GB"/>
              </w:rPr>
              <w:t>C</w:t>
            </w:r>
            <w:r w:rsidR="009C6765" w:rsidRPr="00ED1C00">
              <w:rPr>
                <w:rFonts w:ascii="Arial" w:hAnsi="Arial" w:cs="Arial"/>
                <w:color w:val="000000"/>
                <w:lang w:eastAsia="en-GB"/>
              </w:rPr>
              <w:t xml:space="preserve">entral </w:t>
            </w:r>
            <w:r w:rsidRPr="00FE6AEA">
              <w:rPr>
                <w:rFonts w:ascii="Arial" w:hAnsi="Arial" w:cs="Arial"/>
                <w:color w:val="000000"/>
                <w:lang w:eastAsia="en-GB"/>
              </w:rPr>
              <w:t>S</w:t>
            </w:r>
            <w:r w:rsidR="009C6765" w:rsidRPr="00ED1C00">
              <w:rPr>
                <w:rFonts w:ascii="Arial" w:hAnsi="Arial" w:cs="Arial"/>
                <w:color w:val="000000"/>
                <w:lang w:eastAsia="en-GB"/>
              </w:rPr>
              <w:t xml:space="preserve">ervices </w:t>
            </w:r>
            <w:r w:rsidRPr="00FE6AEA">
              <w:rPr>
                <w:rFonts w:ascii="Arial" w:hAnsi="Arial" w:cs="Arial"/>
                <w:color w:val="000000"/>
                <w:lang w:eastAsia="en-GB"/>
              </w:rPr>
              <w:t>S</w:t>
            </w:r>
            <w:r w:rsidR="009C6765" w:rsidRPr="00ED1C00">
              <w:rPr>
                <w:rFonts w:ascii="Arial" w:hAnsi="Arial" w:cs="Arial"/>
                <w:color w:val="000000"/>
                <w:lang w:eastAsia="en-GB"/>
              </w:rPr>
              <w:t xml:space="preserve">chools </w:t>
            </w:r>
            <w:r w:rsidRPr="00FE6AEA">
              <w:rPr>
                <w:rFonts w:ascii="Arial" w:hAnsi="Arial" w:cs="Arial"/>
                <w:color w:val="000000"/>
                <w:lang w:eastAsia="en-GB"/>
              </w:rPr>
              <w:t>B</w:t>
            </w:r>
            <w:r w:rsidR="009C6765" w:rsidRPr="00ED1C00">
              <w:rPr>
                <w:rFonts w:ascii="Arial" w:hAnsi="Arial" w:cs="Arial"/>
                <w:color w:val="000000"/>
                <w:lang w:eastAsia="en-GB"/>
              </w:rPr>
              <w:t>lock</w:t>
            </w:r>
            <w:r w:rsidRPr="00FE6AEA">
              <w:rPr>
                <w:rFonts w:ascii="Arial" w:hAnsi="Arial" w:cs="Arial"/>
                <w:color w:val="000000"/>
                <w:lang w:eastAsia="en-GB"/>
              </w:rPr>
              <w:t xml:space="preserve"> funded</w:t>
            </w:r>
          </w:p>
        </w:tc>
        <w:tc>
          <w:tcPr>
            <w:tcW w:w="2140" w:type="dxa"/>
            <w:tcBorders>
              <w:top w:val="nil"/>
              <w:left w:val="nil"/>
              <w:bottom w:val="single" w:sz="4" w:space="0" w:color="auto"/>
              <w:right w:val="single" w:sz="4" w:space="0" w:color="auto"/>
            </w:tcBorders>
            <w:shd w:val="clear" w:color="auto" w:fill="auto"/>
            <w:noWrap/>
            <w:vAlign w:val="bottom"/>
            <w:hideMark/>
          </w:tcPr>
          <w:p w14:paraId="117110F4" w14:textId="77777777" w:rsidR="00FE6AEA" w:rsidRPr="00FE6AEA" w:rsidRDefault="00FE6AEA" w:rsidP="00FE6AEA">
            <w:pPr>
              <w:jc w:val="right"/>
              <w:rPr>
                <w:rFonts w:ascii="Arial" w:hAnsi="Arial" w:cs="Arial"/>
                <w:color w:val="000000"/>
                <w:lang w:eastAsia="en-GB"/>
              </w:rPr>
            </w:pPr>
            <w:r w:rsidRPr="00FE6AEA">
              <w:rPr>
                <w:rFonts w:ascii="Arial" w:hAnsi="Arial" w:cs="Arial"/>
                <w:color w:val="000000"/>
                <w:lang w:eastAsia="en-GB"/>
              </w:rPr>
              <w:t>-2.289</w:t>
            </w:r>
          </w:p>
        </w:tc>
      </w:tr>
      <w:tr w:rsidR="00FE6AEA" w:rsidRPr="00FE6AEA" w14:paraId="7E8B9DF4" w14:textId="77777777" w:rsidTr="00E10E88">
        <w:trPr>
          <w:trHeight w:val="300"/>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6684F5FE" w14:textId="2547AD29" w:rsidR="00FE6AEA" w:rsidRPr="00FE6AEA" w:rsidRDefault="00FE6AEA" w:rsidP="00FE6AEA">
            <w:pPr>
              <w:rPr>
                <w:rFonts w:ascii="Arial" w:hAnsi="Arial" w:cs="Arial"/>
                <w:b/>
                <w:color w:val="000000"/>
                <w:lang w:eastAsia="en-GB"/>
              </w:rPr>
            </w:pPr>
            <w:r w:rsidRPr="00FE6AEA">
              <w:rPr>
                <w:rFonts w:ascii="Arial" w:hAnsi="Arial" w:cs="Arial"/>
                <w:b/>
                <w:color w:val="000000"/>
                <w:lang w:eastAsia="en-GB"/>
              </w:rPr>
              <w:t>N</w:t>
            </w:r>
            <w:r w:rsidR="009C6765" w:rsidRPr="00ED1C00">
              <w:rPr>
                <w:rFonts w:ascii="Arial" w:hAnsi="Arial" w:cs="Arial"/>
                <w:b/>
                <w:color w:val="000000"/>
                <w:lang w:eastAsia="en-GB"/>
              </w:rPr>
              <w:t>orfolk County Council</w:t>
            </w:r>
            <w:r w:rsidRPr="00FE6AEA">
              <w:rPr>
                <w:rFonts w:ascii="Arial" w:hAnsi="Arial" w:cs="Arial"/>
                <w:b/>
                <w:color w:val="000000"/>
                <w:lang w:eastAsia="en-GB"/>
              </w:rPr>
              <w:t xml:space="preserve"> funded</w:t>
            </w:r>
          </w:p>
        </w:tc>
        <w:tc>
          <w:tcPr>
            <w:tcW w:w="2140" w:type="dxa"/>
            <w:tcBorders>
              <w:top w:val="nil"/>
              <w:left w:val="nil"/>
              <w:bottom w:val="single" w:sz="4" w:space="0" w:color="auto"/>
              <w:right w:val="single" w:sz="4" w:space="0" w:color="auto"/>
            </w:tcBorders>
            <w:shd w:val="clear" w:color="auto" w:fill="auto"/>
            <w:noWrap/>
            <w:vAlign w:val="bottom"/>
            <w:hideMark/>
          </w:tcPr>
          <w:p w14:paraId="15DDF1A2" w14:textId="77777777" w:rsidR="00FE6AEA" w:rsidRPr="00FE6AEA" w:rsidRDefault="00FE6AEA" w:rsidP="00FE6AEA">
            <w:pPr>
              <w:jc w:val="right"/>
              <w:rPr>
                <w:rFonts w:ascii="Arial" w:hAnsi="Arial" w:cs="Arial"/>
                <w:b/>
                <w:color w:val="000000"/>
                <w:lang w:eastAsia="en-GB"/>
              </w:rPr>
            </w:pPr>
            <w:r w:rsidRPr="00FE6AEA">
              <w:rPr>
                <w:rFonts w:ascii="Arial" w:hAnsi="Arial" w:cs="Arial"/>
                <w:b/>
                <w:color w:val="000000"/>
                <w:lang w:eastAsia="en-GB"/>
              </w:rPr>
              <w:t>4.404</w:t>
            </w:r>
          </w:p>
        </w:tc>
      </w:tr>
    </w:tbl>
    <w:p w14:paraId="10BFF5E2" w14:textId="7115B40A" w:rsidR="00A24C46" w:rsidRPr="00ED1C00" w:rsidRDefault="00A24C46" w:rsidP="00CB4121">
      <w:pPr>
        <w:rPr>
          <w:rFonts w:ascii="Arial" w:hAnsi="Arial" w:cs="Arial"/>
        </w:rPr>
      </w:pPr>
    </w:p>
    <w:p w14:paraId="671DAAB5" w14:textId="43EC5E69" w:rsidR="00CB4121" w:rsidRPr="00ED1C00" w:rsidRDefault="0077214D" w:rsidP="00CB4121">
      <w:pPr>
        <w:rPr>
          <w:rFonts w:ascii="Arial" w:hAnsi="Arial" w:cs="Arial"/>
        </w:rPr>
      </w:pPr>
      <w:r w:rsidRPr="00ED1C00">
        <w:rPr>
          <w:rFonts w:ascii="Arial" w:hAnsi="Arial" w:cs="Arial"/>
        </w:rPr>
        <w:t>For 202</w:t>
      </w:r>
      <w:r w:rsidR="00F848EC" w:rsidRPr="00ED1C00">
        <w:rPr>
          <w:rFonts w:ascii="Arial" w:hAnsi="Arial" w:cs="Arial"/>
        </w:rPr>
        <w:t>3-24, t</w:t>
      </w:r>
      <w:r w:rsidR="00CB4121" w:rsidRPr="00ED1C00">
        <w:rPr>
          <w:rFonts w:ascii="Arial" w:hAnsi="Arial" w:cs="Arial"/>
        </w:rPr>
        <w:t>he figure has now reduced from the £2,566,546 requested at the November meeting to £2,499,893, due to an increase in the amount that the DfE will deduct towards licences for all schools, confirmed to the LA in December with DSG allocations.</w:t>
      </w:r>
    </w:p>
    <w:p w14:paraId="04533A16" w14:textId="77777777" w:rsidR="004E26E8" w:rsidRPr="00ED1C00" w:rsidRDefault="004E26E8" w:rsidP="00683A6F">
      <w:pPr>
        <w:rPr>
          <w:rFonts w:ascii="Arial" w:hAnsi="Arial" w:cs="Arial"/>
        </w:rPr>
      </w:pPr>
    </w:p>
    <w:p w14:paraId="01F06B41" w14:textId="465C70C0" w:rsidR="00DD5AA3" w:rsidRPr="00ED1C00" w:rsidRDefault="00023CD3" w:rsidP="00683A6F">
      <w:pPr>
        <w:rPr>
          <w:rFonts w:ascii="Arial" w:hAnsi="Arial" w:cs="Arial"/>
        </w:rPr>
      </w:pPr>
      <w:r w:rsidRPr="00ED1C00">
        <w:rPr>
          <w:rFonts w:ascii="Arial" w:hAnsi="Arial" w:cs="Arial"/>
        </w:rPr>
        <w:t xml:space="preserve">If this contribution was not agreed by Schools Forum, the local authority would need to ask </w:t>
      </w:r>
      <w:r w:rsidR="006D4FBA" w:rsidRPr="00ED1C00">
        <w:rPr>
          <w:rFonts w:ascii="Arial" w:hAnsi="Arial" w:cs="Arial"/>
        </w:rPr>
        <w:t>the ESFA</w:t>
      </w:r>
      <w:r w:rsidR="000468E0" w:rsidRPr="00ED1C00">
        <w:rPr>
          <w:rFonts w:ascii="Arial" w:hAnsi="Arial" w:cs="Arial"/>
        </w:rPr>
        <w:t xml:space="preserve"> to adjudicate given the responsibilities held </w:t>
      </w:r>
      <w:r w:rsidR="000E7EE8" w:rsidRPr="00ED1C00">
        <w:rPr>
          <w:rFonts w:ascii="Arial" w:hAnsi="Arial" w:cs="Arial"/>
        </w:rPr>
        <w:t>and funding required to meet these.</w:t>
      </w:r>
    </w:p>
    <w:p w14:paraId="2252C1ED" w14:textId="77777777" w:rsidR="00DD5AA3" w:rsidRPr="00ED1C00" w:rsidRDefault="00DD5AA3" w:rsidP="00683A6F">
      <w:pPr>
        <w:rPr>
          <w:rFonts w:ascii="Arial" w:hAnsi="Arial" w:cs="Arial"/>
          <w:b/>
          <w:u w:val="single"/>
        </w:rPr>
      </w:pPr>
    </w:p>
    <w:p w14:paraId="61E1FC3A" w14:textId="77FA8280" w:rsidR="00D40DFF" w:rsidRPr="00B71B1A" w:rsidRDefault="00D40DFF" w:rsidP="00683A6F">
      <w:pPr>
        <w:rPr>
          <w:rFonts w:ascii="Arial" w:hAnsi="Arial" w:cs="Arial"/>
          <w:b/>
          <w:highlight w:val="yellow"/>
          <w:u w:val="single"/>
        </w:rPr>
      </w:pPr>
      <w:r w:rsidRPr="00722606">
        <w:rPr>
          <w:rFonts w:ascii="Arial" w:hAnsi="Arial" w:cs="Arial"/>
          <w:b/>
        </w:rPr>
        <w:t xml:space="preserve">Schools Forum are requested to approve a continued contribution </w:t>
      </w:r>
      <w:r>
        <w:rPr>
          <w:rFonts w:ascii="Arial" w:hAnsi="Arial" w:cs="Arial"/>
          <w:b/>
        </w:rPr>
        <w:t>towards the cost of responsibilities held for all schools £2,</w:t>
      </w:r>
      <w:r w:rsidR="007B290D">
        <w:rPr>
          <w:rFonts w:ascii="Arial" w:hAnsi="Arial" w:cs="Arial"/>
          <w:b/>
        </w:rPr>
        <w:t>499,893</w:t>
      </w:r>
      <w:r>
        <w:rPr>
          <w:rFonts w:ascii="Arial" w:hAnsi="Arial" w:cs="Arial"/>
          <w:b/>
        </w:rPr>
        <w:t xml:space="preserve"> from the Central School Services Block.</w:t>
      </w:r>
    </w:p>
    <w:p w14:paraId="2E187B41" w14:textId="77777777" w:rsidR="00727C83" w:rsidRPr="00F869FA" w:rsidRDefault="00727C83" w:rsidP="00683A6F">
      <w:pPr>
        <w:rPr>
          <w:rFonts w:ascii="Arial" w:hAnsi="Arial" w:cs="Arial"/>
          <w:b/>
          <w:sz w:val="28"/>
          <w:szCs w:val="28"/>
          <w:highlight w:val="yellow"/>
        </w:rPr>
      </w:pPr>
    </w:p>
    <w:p w14:paraId="3CD4A27C" w14:textId="77777777" w:rsidR="00E15B25" w:rsidRPr="006C0224" w:rsidRDefault="00E15B25" w:rsidP="00E15B25">
      <w:pPr>
        <w:rPr>
          <w:rFonts w:ascii="Arial" w:hAnsi="Arial" w:cs="Arial"/>
          <w:b/>
          <w:color w:val="1F4E79" w:themeColor="accent5" w:themeShade="80"/>
          <w:szCs w:val="20"/>
        </w:rPr>
      </w:pPr>
      <w:r w:rsidRPr="006C0224">
        <w:rPr>
          <w:rFonts w:ascii="Arial" w:hAnsi="Arial" w:cs="Arial"/>
          <w:b/>
          <w:color w:val="1F4E79" w:themeColor="accent5" w:themeShade="80"/>
          <w:szCs w:val="20"/>
        </w:rPr>
        <w:t xml:space="preserve">Schools Forum is asked to:  </w:t>
      </w:r>
    </w:p>
    <w:p w14:paraId="446A4C1C" w14:textId="77777777" w:rsidR="00E15B25" w:rsidRPr="006C0224" w:rsidRDefault="00E15B25" w:rsidP="00E15B25">
      <w:pPr>
        <w:rPr>
          <w:rFonts w:ascii="Arial" w:hAnsi="Arial" w:cs="Arial"/>
          <w:b/>
          <w:color w:val="1F4E79" w:themeColor="accent5" w:themeShade="80"/>
          <w:szCs w:val="20"/>
        </w:rPr>
      </w:pPr>
    </w:p>
    <w:p w14:paraId="36D10B49" w14:textId="3E664159" w:rsidR="0012391D" w:rsidRPr="00D71D08" w:rsidRDefault="00E15B25" w:rsidP="00D71D08">
      <w:pPr>
        <w:pStyle w:val="ListParagraph"/>
        <w:numPr>
          <w:ilvl w:val="0"/>
          <w:numId w:val="23"/>
        </w:numPr>
        <w:spacing w:after="160" w:line="259" w:lineRule="auto"/>
        <w:ind w:left="567" w:hanging="425"/>
        <w:rPr>
          <w:rFonts w:ascii="Arial" w:hAnsi="Arial" w:cs="Arial"/>
          <w:b/>
        </w:rPr>
      </w:pPr>
      <w:r w:rsidRPr="006C0224">
        <w:rPr>
          <w:rFonts w:ascii="Arial" w:hAnsi="Arial" w:cs="Arial"/>
          <w:b/>
          <w:color w:val="1F4E79" w:themeColor="accent5" w:themeShade="80"/>
          <w:szCs w:val="20"/>
        </w:rPr>
        <w:t xml:space="preserve">Note the funding announcements in relation to the Central </w:t>
      </w:r>
      <w:r w:rsidRPr="00D71D08">
        <w:rPr>
          <w:rFonts w:ascii="Arial" w:hAnsi="Arial" w:cs="Arial"/>
          <w:b/>
          <w:color w:val="1F4E79" w:themeColor="accent5" w:themeShade="80"/>
          <w:szCs w:val="20"/>
        </w:rPr>
        <w:t>School</w:t>
      </w:r>
      <w:r w:rsidR="00D71D08" w:rsidRPr="00D71D08">
        <w:rPr>
          <w:rFonts w:ascii="Arial" w:hAnsi="Arial" w:cs="Arial"/>
          <w:b/>
          <w:color w:val="1F4E79" w:themeColor="accent5" w:themeShade="80"/>
          <w:szCs w:val="20"/>
        </w:rPr>
        <w:t xml:space="preserve"> </w:t>
      </w:r>
      <w:r w:rsidRPr="006C0224">
        <w:rPr>
          <w:rFonts w:ascii="Arial" w:hAnsi="Arial" w:cs="Arial"/>
          <w:b/>
          <w:color w:val="1F4E79" w:themeColor="accent5" w:themeShade="80"/>
          <w:szCs w:val="20"/>
        </w:rPr>
        <w:t>Services Block</w:t>
      </w:r>
    </w:p>
    <w:p w14:paraId="6B9DE3EB" w14:textId="77777777" w:rsidR="00D71D08" w:rsidRPr="00D71D08" w:rsidRDefault="00D71D08" w:rsidP="00D71D08">
      <w:pPr>
        <w:pStyle w:val="ListParagraph"/>
        <w:spacing w:after="160" w:line="259" w:lineRule="auto"/>
        <w:ind w:left="567"/>
        <w:rPr>
          <w:rFonts w:ascii="Arial" w:hAnsi="Arial" w:cs="Arial"/>
          <w:b/>
        </w:rPr>
      </w:pPr>
    </w:p>
    <w:p w14:paraId="486A5BAC" w14:textId="4C1397E4" w:rsidR="003677EA" w:rsidRPr="00D71D08" w:rsidRDefault="003677EA" w:rsidP="00D71D08">
      <w:pPr>
        <w:pStyle w:val="ListParagraph"/>
        <w:numPr>
          <w:ilvl w:val="0"/>
          <w:numId w:val="23"/>
        </w:numPr>
        <w:spacing w:after="160" w:line="259" w:lineRule="auto"/>
        <w:ind w:left="567" w:hanging="425"/>
        <w:rPr>
          <w:rFonts w:ascii="Arial" w:hAnsi="Arial" w:cs="Arial"/>
          <w:b/>
        </w:rPr>
      </w:pPr>
      <w:r w:rsidRPr="00D71D08">
        <w:rPr>
          <w:rFonts w:ascii="Arial" w:hAnsi="Arial" w:cs="Arial"/>
          <w:b/>
          <w:color w:val="1F4E79" w:themeColor="accent5" w:themeShade="80"/>
          <w:szCs w:val="20"/>
        </w:rPr>
        <w:t>Approve the following items from Central School Services Block</w:t>
      </w:r>
      <w:r w:rsidR="00B6017B">
        <w:rPr>
          <w:rFonts w:ascii="Arial" w:hAnsi="Arial" w:cs="Arial"/>
          <w:b/>
          <w:color w:val="1F4E79" w:themeColor="accent5" w:themeShade="80"/>
          <w:szCs w:val="20"/>
        </w:rPr>
        <w:t>:</w:t>
      </w:r>
    </w:p>
    <w:p w14:paraId="3B710C33" w14:textId="77777777" w:rsidR="00D71D08" w:rsidRPr="00D71D08" w:rsidRDefault="00D71D08" w:rsidP="00D71D08">
      <w:pPr>
        <w:pStyle w:val="ListParagraph"/>
        <w:spacing w:after="160" w:line="259" w:lineRule="auto"/>
        <w:ind w:left="360"/>
        <w:rPr>
          <w:rFonts w:ascii="Arial" w:hAnsi="Arial" w:cs="Arial"/>
          <w:b/>
          <w:highlight w:val="yellow"/>
        </w:rPr>
      </w:pPr>
    </w:p>
    <w:p w14:paraId="6792E5F4" w14:textId="6D2B2A07" w:rsidR="003677EA" w:rsidRPr="00B6017B" w:rsidRDefault="003677EA" w:rsidP="002F207C">
      <w:pPr>
        <w:pStyle w:val="ListParagraph"/>
        <w:numPr>
          <w:ilvl w:val="0"/>
          <w:numId w:val="36"/>
        </w:numPr>
        <w:ind w:left="1418"/>
        <w:rPr>
          <w:rFonts w:ascii="Arial" w:hAnsi="Arial" w:cs="Arial"/>
          <w:b/>
          <w:bCs/>
          <w:color w:val="1F4E79" w:themeColor="accent5" w:themeShade="80"/>
        </w:rPr>
      </w:pPr>
      <w:r w:rsidRPr="00B6017B">
        <w:rPr>
          <w:rFonts w:ascii="Arial" w:hAnsi="Arial" w:cs="Arial"/>
          <w:b/>
          <w:bCs/>
          <w:color w:val="1F4E79" w:themeColor="accent5" w:themeShade="80"/>
        </w:rPr>
        <w:t>Fees to independent schools for pupils with SEN (£100,00</w:t>
      </w:r>
      <w:r w:rsidR="00B6017B" w:rsidRPr="00B6017B">
        <w:rPr>
          <w:rFonts w:ascii="Arial" w:hAnsi="Arial" w:cs="Arial"/>
          <w:b/>
          <w:bCs/>
          <w:color w:val="1F4E79" w:themeColor="accent5" w:themeShade="80"/>
        </w:rPr>
        <w:t>0</w:t>
      </w:r>
      <w:r w:rsidRPr="00B6017B">
        <w:rPr>
          <w:rFonts w:ascii="Arial" w:hAnsi="Arial" w:cs="Arial"/>
          <w:b/>
          <w:bCs/>
          <w:color w:val="1F4E79" w:themeColor="accent5" w:themeShade="80"/>
        </w:rPr>
        <w:t>)</w:t>
      </w:r>
    </w:p>
    <w:p w14:paraId="098CB542" w14:textId="77777777" w:rsidR="003677EA" w:rsidRPr="00B6017B" w:rsidRDefault="003677EA" w:rsidP="002F207C">
      <w:pPr>
        <w:ind w:left="1418"/>
        <w:rPr>
          <w:rFonts w:ascii="Arial" w:hAnsi="Arial" w:cs="Arial"/>
          <w:b/>
          <w:bCs/>
          <w:color w:val="1F4E79" w:themeColor="accent5" w:themeShade="80"/>
        </w:rPr>
      </w:pPr>
    </w:p>
    <w:p w14:paraId="761262DD" w14:textId="77777777" w:rsidR="003677EA" w:rsidRPr="00B6017B" w:rsidRDefault="003677EA" w:rsidP="002F207C">
      <w:pPr>
        <w:pStyle w:val="ListParagraph"/>
        <w:numPr>
          <w:ilvl w:val="0"/>
          <w:numId w:val="36"/>
        </w:numPr>
        <w:ind w:left="1418"/>
        <w:rPr>
          <w:rFonts w:ascii="Arial" w:hAnsi="Arial" w:cs="Arial"/>
          <w:b/>
          <w:bCs/>
          <w:color w:val="1F4E79" w:themeColor="accent5" w:themeShade="80"/>
        </w:rPr>
      </w:pPr>
      <w:r w:rsidRPr="00B6017B">
        <w:rPr>
          <w:rFonts w:ascii="Arial" w:hAnsi="Arial" w:cs="Arial"/>
          <w:b/>
          <w:bCs/>
          <w:color w:val="1F4E79" w:themeColor="accent5" w:themeShade="80"/>
        </w:rPr>
        <w:t>Contribution to Learning and Inclusion (£119,700)</w:t>
      </w:r>
    </w:p>
    <w:p w14:paraId="3A67B9D6" w14:textId="77777777" w:rsidR="003677EA" w:rsidRPr="00B6017B" w:rsidRDefault="003677EA" w:rsidP="002F207C">
      <w:pPr>
        <w:pStyle w:val="ListParagraph"/>
        <w:ind w:left="1418"/>
        <w:rPr>
          <w:rFonts w:ascii="Arial" w:hAnsi="Arial" w:cs="Arial"/>
          <w:b/>
          <w:bCs/>
          <w:color w:val="1F4E79" w:themeColor="accent5" w:themeShade="80"/>
          <w:highlight w:val="yellow"/>
        </w:rPr>
      </w:pPr>
    </w:p>
    <w:p w14:paraId="5A3C6BA0" w14:textId="74224B1D" w:rsidR="00ED1C00" w:rsidRDefault="00D71D08" w:rsidP="00F86EC9">
      <w:pPr>
        <w:pStyle w:val="ListParagraph"/>
        <w:numPr>
          <w:ilvl w:val="0"/>
          <w:numId w:val="36"/>
        </w:numPr>
        <w:spacing w:after="160" w:line="259" w:lineRule="auto"/>
        <w:ind w:left="1418"/>
        <w:rPr>
          <w:rFonts w:ascii="Arial" w:hAnsi="Arial" w:cs="Arial"/>
          <w:b/>
          <w:bCs/>
          <w:color w:val="1F4E79" w:themeColor="accent5" w:themeShade="80"/>
        </w:rPr>
        <w:sectPr w:rsidR="00ED1C00" w:rsidSect="00A3368F">
          <w:headerReference w:type="default" r:id="rId16"/>
          <w:footerReference w:type="default" r:id="rId17"/>
          <w:pgSz w:w="11906" w:h="16838"/>
          <w:pgMar w:top="1134" w:right="1134" w:bottom="1134" w:left="1134" w:header="709" w:footer="709" w:gutter="0"/>
          <w:cols w:space="708"/>
          <w:docGrid w:linePitch="360"/>
        </w:sectPr>
      </w:pPr>
      <w:r w:rsidRPr="00B6017B">
        <w:rPr>
          <w:rFonts w:ascii="Arial" w:hAnsi="Arial" w:cs="Arial"/>
          <w:b/>
          <w:bCs/>
          <w:color w:val="1F4E79" w:themeColor="accent5" w:themeShade="80"/>
        </w:rPr>
        <w:t>Funding</w:t>
      </w:r>
      <w:r w:rsidR="003677EA" w:rsidRPr="00B6017B">
        <w:rPr>
          <w:rFonts w:ascii="Arial" w:hAnsi="Arial" w:cs="Arial"/>
          <w:b/>
          <w:bCs/>
          <w:color w:val="1F4E79" w:themeColor="accent5" w:themeShade="80"/>
        </w:rPr>
        <w:t xml:space="preserve"> for the LA to meet responsibilities held for all schools including Teachers’ Pension employer contributions for centrally employed teachers</w:t>
      </w:r>
      <w:r w:rsidR="006659EA" w:rsidRPr="00B6017B">
        <w:rPr>
          <w:rFonts w:ascii="Arial" w:hAnsi="Arial" w:cs="Arial"/>
          <w:b/>
          <w:bCs/>
          <w:color w:val="1F4E79" w:themeColor="accent5" w:themeShade="80"/>
        </w:rPr>
        <w:t xml:space="preserve"> (£2,</w:t>
      </w:r>
      <w:r w:rsidR="007B290D">
        <w:rPr>
          <w:rFonts w:ascii="Arial" w:hAnsi="Arial" w:cs="Arial"/>
          <w:b/>
          <w:bCs/>
          <w:color w:val="1F4E79" w:themeColor="accent5" w:themeShade="80"/>
        </w:rPr>
        <w:t>499,893</w:t>
      </w:r>
      <w:r w:rsidR="006C5670">
        <w:rPr>
          <w:rFonts w:ascii="Arial" w:hAnsi="Arial" w:cs="Arial"/>
          <w:b/>
          <w:bCs/>
          <w:color w:val="1F4E79" w:themeColor="accent5" w:themeShade="80"/>
        </w:rPr>
        <w:t>)</w:t>
      </w:r>
    </w:p>
    <w:p w14:paraId="18692606" w14:textId="36D57DC8" w:rsidR="00406644" w:rsidRPr="00BC6865" w:rsidRDefault="00406644" w:rsidP="00BC6865">
      <w:pPr>
        <w:pStyle w:val="Heading3"/>
      </w:pPr>
      <w:r w:rsidRPr="00BC6865">
        <w:lastRenderedPageBreak/>
        <w:t>Annex A</w:t>
      </w:r>
    </w:p>
    <w:p w14:paraId="14E47692" w14:textId="77777777" w:rsidR="00406644" w:rsidRPr="007A6A22" w:rsidRDefault="00406644" w:rsidP="00406644">
      <w:pPr>
        <w:spacing w:after="160" w:line="259" w:lineRule="auto"/>
        <w:rPr>
          <w:rFonts w:ascii="Arial" w:eastAsiaTheme="minorHAnsi" w:hAnsi="Arial" w:cs="Arial"/>
          <w:b/>
          <w:sz w:val="28"/>
          <w:szCs w:val="28"/>
        </w:rPr>
      </w:pPr>
    </w:p>
    <w:p w14:paraId="1BA56FF8" w14:textId="77777777" w:rsidR="00406644" w:rsidRPr="007A6A22" w:rsidRDefault="00406644" w:rsidP="00406644">
      <w:pPr>
        <w:spacing w:after="160" w:line="259" w:lineRule="auto"/>
        <w:rPr>
          <w:rFonts w:ascii="Arial" w:eastAsiaTheme="minorHAnsi" w:hAnsi="Arial" w:cs="Arial"/>
          <w:b/>
          <w:color w:val="0070C0"/>
          <w:sz w:val="28"/>
          <w:szCs w:val="28"/>
        </w:rPr>
      </w:pPr>
      <w:r w:rsidRPr="007A6A22">
        <w:rPr>
          <w:rFonts w:ascii="Arial" w:eastAsiaTheme="minorHAnsi" w:hAnsi="Arial" w:cs="Arial"/>
          <w:b/>
          <w:color w:val="0070C0"/>
          <w:sz w:val="28"/>
          <w:szCs w:val="28"/>
        </w:rPr>
        <w:t xml:space="preserve">Responsibilities held for all schools </w:t>
      </w:r>
    </w:p>
    <w:p w14:paraId="34C54806" w14:textId="77777777" w:rsidR="00406644" w:rsidRPr="007A6A22" w:rsidRDefault="00406644" w:rsidP="00406644">
      <w:pPr>
        <w:spacing w:after="160" w:line="259" w:lineRule="auto"/>
        <w:rPr>
          <w:rFonts w:ascii="Arial" w:eastAsiaTheme="minorHAnsi" w:hAnsi="Arial" w:cs="Arial"/>
          <w:b/>
          <w:color w:val="0070C0"/>
        </w:rPr>
      </w:pPr>
      <w:r w:rsidRPr="007A6A22">
        <w:rPr>
          <w:rFonts w:ascii="Arial" w:eastAsiaTheme="minorHAnsi" w:hAnsi="Arial" w:cs="Arial"/>
          <w:b/>
          <w:color w:val="0070C0"/>
        </w:rPr>
        <w:t xml:space="preserve">Statutory and regulatory duties </w:t>
      </w:r>
    </w:p>
    <w:p w14:paraId="0F68DA3C"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director of children’s services and personal staff for director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15a) </w:t>
      </w:r>
    </w:p>
    <w:p w14:paraId="4488F149"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planning for the education service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15b) </w:t>
      </w:r>
    </w:p>
    <w:p w14:paraId="549D4DEB"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revenue budget preparation, preparation of information on income and expenditure relating to education, and external audit relating to education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2, 22) </w:t>
      </w:r>
    </w:p>
    <w:p w14:paraId="31C30664"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authorisation and monitoring of expenditure not met from schools’ budget shares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15c) </w:t>
      </w:r>
    </w:p>
    <w:p w14:paraId="21D8F1E3"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formulation and review of local authority schools funding formula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15d) </w:t>
      </w:r>
    </w:p>
    <w:p w14:paraId="1AC456DA"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internal audit and other tasks related to the local authority’s chief finance officer’s responsibilities under section 151 of LGA 1972 except duties specifically related to maintained schools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15e) </w:t>
      </w:r>
    </w:p>
    <w:p w14:paraId="7944A450"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consultation costs relating to non-staffing issues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2, 19) </w:t>
      </w:r>
    </w:p>
    <w:p w14:paraId="596076F7"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plans involving collaboration with other local authority services or public or voluntary bodies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15f) </w:t>
      </w:r>
    </w:p>
    <w:p w14:paraId="64C0BCC4"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Standing Advisory Committees for Religious Education (SACREs)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2, 17) </w:t>
      </w:r>
    </w:p>
    <w:p w14:paraId="51169FA4"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provision of information to or at the request of the Crown other than relating specifically to maintained schools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2, 21) </w:t>
      </w:r>
    </w:p>
    <w:p w14:paraId="6BF73AC1" w14:textId="77777777" w:rsidR="00406644" w:rsidRPr="007A6A22" w:rsidRDefault="00406644" w:rsidP="00406644">
      <w:pPr>
        <w:spacing w:after="160" w:line="259" w:lineRule="auto"/>
        <w:rPr>
          <w:rFonts w:ascii="Arial" w:eastAsiaTheme="minorHAnsi" w:hAnsi="Arial" w:cs="Arial"/>
          <w:b/>
          <w:color w:val="0070C0"/>
        </w:rPr>
      </w:pPr>
      <w:r w:rsidRPr="007A6A22">
        <w:rPr>
          <w:rFonts w:ascii="Arial" w:eastAsiaTheme="minorHAnsi" w:hAnsi="Arial" w:cs="Arial"/>
          <w:b/>
          <w:color w:val="0070C0"/>
        </w:rPr>
        <w:t xml:space="preserve">Education welfare </w:t>
      </w:r>
    </w:p>
    <w:p w14:paraId="0695F8B3"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functions in relation to the exclusion of pupils from schools, excluding any provision of education to excluded pupils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2, 20) </w:t>
      </w:r>
    </w:p>
    <w:p w14:paraId="4272A4CC"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school attendance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2, 16) </w:t>
      </w:r>
    </w:p>
    <w:p w14:paraId="432901AC"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responsibilities regarding the employment of children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2, 18) </w:t>
      </w:r>
    </w:p>
    <w:p w14:paraId="1731FBFA" w14:textId="77777777" w:rsidR="00406644" w:rsidRPr="007A6A22" w:rsidRDefault="00406644" w:rsidP="00406644">
      <w:pPr>
        <w:spacing w:after="160" w:line="259" w:lineRule="auto"/>
        <w:rPr>
          <w:rFonts w:ascii="Arial" w:eastAsiaTheme="minorHAnsi" w:hAnsi="Arial" w:cs="Arial"/>
          <w:b/>
          <w:color w:val="0070C0"/>
        </w:rPr>
      </w:pPr>
      <w:r w:rsidRPr="007A6A22">
        <w:rPr>
          <w:rFonts w:ascii="Arial" w:eastAsiaTheme="minorHAnsi" w:hAnsi="Arial" w:cs="Arial"/>
          <w:b/>
          <w:color w:val="0070C0"/>
        </w:rPr>
        <w:t xml:space="preserve">Asset management </w:t>
      </w:r>
    </w:p>
    <w:p w14:paraId="739C6D26"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management of the local authority’s capital programme including preparation and review of an asset management plan, and negotiation and management of private finance transactions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14a) </w:t>
      </w:r>
    </w:p>
    <w:p w14:paraId="53144802"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general landlord duties for all buildings owned by the local authority, including those leased to academies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14b) </w:t>
      </w:r>
    </w:p>
    <w:p w14:paraId="4C1B62A5" w14:textId="77777777" w:rsidR="00406644" w:rsidRPr="007A6A22" w:rsidRDefault="00406644" w:rsidP="00406644">
      <w:pPr>
        <w:spacing w:after="160" w:line="259" w:lineRule="auto"/>
        <w:rPr>
          <w:rFonts w:ascii="Arial" w:eastAsiaTheme="minorHAnsi" w:hAnsi="Arial" w:cs="Arial"/>
          <w:b/>
          <w:color w:val="0070C0"/>
        </w:rPr>
      </w:pPr>
      <w:r w:rsidRPr="007A6A22">
        <w:rPr>
          <w:rFonts w:ascii="Arial" w:eastAsiaTheme="minorHAnsi" w:hAnsi="Arial" w:cs="Arial"/>
          <w:b/>
          <w:color w:val="0070C0"/>
        </w:rPr>
        <w:t xml:space="preserve">Other ongoing duties </w:t>
      </w:r>
    </w:p>
    <w:p w14:paraId="51A43FB0"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licences negotiated centrally by the Secretary of State for all publicly funded schools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8); this does not require schools forum approval </w:t>
      </w:r>
    </w:p>
    <w:p w14:paraId="252C246C"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admissions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2, 9) </w:t>
      </w:r>
    </w:p>
    <w:p w14:paraId="297E02C6"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lastRenderedPageBreak/>
        <w:t>• places in independent schools for non-SEN pupils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2, 10) </w:t>
      </w:r>
    </w:p>
    <w:p w14:paraId="623D40F7"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remission of boarding fees at maintained schools and academies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2, 11) </w:t>
      </w:r>
    </w:p>
    <w:p w14:paraId="62F2382B"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servicing of schools forums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2, 12) </w:t>
      </w:r>
    </w:p>
    <w:p w14:paraId="0161ADCE"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back-pay for equal pay claims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2, 13) </w:t>
      </w:r>
    </w:p>
    <w:p w14:paraId="1B5565B2"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writing to parents of year 9 pupils about schools with an atypical age of admission, such as UTCs and studio schools, within a reasonable travelling distance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2, 23) </w:t>
      </w:r>
    </w:p>
    <w:p w14:paraId="362B1770" w14:textId="77777777" w:rsidR="00406644" w:rsidRPr="007A6A22" w:rsidRDefault="00406644" w:rsidP="00406644">
      <w:pPr>
        <w:spacing w:after="160" w:line="259" w:lineRule="auto"/>
        <w:rPr>
          <w:rFonts w:ascii="Arial" w:eastAsiaTheme="minorHAnsi" w:hAnsi="Arial" w:cs="Arial"/>
          <w:b/>
          <w:color w:val="0070C0"/>
        </w:rPr>
      </w:pPr>
      <w:r w:rsidRPr="007A6A22">
        <w:rPr>
          <w:rFonts w:ascii="Arial" w:eastAsiaTheme="minorHAnsi" w:hAnsi="Arial" w:cs="Arial"/>
          <w:b/>
          <w:color w:val="0070C0"/>
        </w:rPr>
        <w:t xml:space="preserve">Historic commitments </w:t>
      </w:r>
    </w:p>
    <w:p w14:paraId="2E2EE464"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capital expenditure funded from revenue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2, 1) </w:t>
      </w:r>
    </w:p>
    <w:p w14:paraId="57FC9111"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prudential borrowing costs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2(a)) </w:t>
      </w:r>
    </w:p>
    <w:p w14:paraId="0F56109F"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termination of employment costs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2(b)) </w:t>
      </w:r>
    </w:p>
    <w:p w14:paraId="73C85643" w14:textId="77777777" w:rsidR="00406644" w:rsidRPr="007A6A22" w:rsidRDefault="00406644" w:rsidP="00406644">
      <w:pPr>
        <w:spacing w:after="160" w:line="259" w:lineRule="auto"/>
        <w:ind w:left="142" w:hanging="142"/>
        <w:rPr>
          <w:rFonts w:ascii="Arial" w:eastAsiaTheme="minorHAnsi" w:hAnsi="Arial" w:cs="Arial"/>
          <w:bCs/>
        </w:rPr>
      </w:pPr>
      <w:r w:rsidRPr="007A6A22">
        <w:rPr>
          <w:rFonts w:ascii="Arial" w:eastAsiaTheme="minorHAnsi" w:hAnsi="Arial" w:cs="Arial"/>
          <w:bCs/>
        </w:rPr>
        <w:t>• contribution to combined budgets (</w:t>
      </w:r>
      <w:proofErr w:type="spellStart"/>
      <w:r w:rsidRPr="007A6A22">
        <w:rPr>
          <w:rFonts w:ascii="Arial" w:eastAsiaTheme="minorHAnsi" w:hAnsi="Arial" w:cs="Arial"/>
          <w:bCs/>
        </w:rPr>
        <w:t>sch</w:t>
      </w:r>
      <w:proofErr w:type="spellEnd"/>
      <w:r w:rsidRPr="007A6A22">
        <w:rPr>
          <w:rFonts w:ascii="Arial" w:eastAsiaTheme="minorHAnsi" w:hAnsi="Arial" w:cs="Arial"/>
          <w:bCs/>
        </w:rPr>
        <w:t xml:space="preserve"> 2, 2(c))</w:t>
      </w:r>
    </w:p>
    <w:p w14:paraId="67A23283" w14:textId="77777777" w:rsidR="00406644" w:rsidRPr="007A6A22" w:rsidRDefault="00406644" w:rsidP="00406644">
      <w:pPr>
        <w:autoSpaceDE w:val="0"/>
        <w:autoSpaceDN w:val="0"/>
        <w:adjustRightInd w:val="0"/>
        <w:rPr>
          <w:rFonts w:ascii="Arial" w:eastAsiaTheme="minorHAnsi" w:hAnsi="Arial" w:cs="Arial"/>
          <w:color w:val="000000"/>
        </w:rPr>
      </w:pPr>
    </w:p>
    <w:p w14:paraId="5478B444" w14:textId="77777777" w:rsidR="00406644" w:rsidRPr="007A6A22" w:rsidRDefault="00406644" w:rsidP="00406644">
      <w:pPr>
        <w:autoSpaceDE w:val="0"/>
        <w:autoSpaceDN w:val="0"/>
        <w:adjustRightInd w:val="0"/>
        <w:rPr>
          <w:rFonts w:ascii="Arial" w:eastAsiaTheme="minorHAnsi" w:hAnsi="Arial" w:cs="Arial"/>
          <w:color w:val="000000"/>
        </w:rPr>
      </w:pPr>
      <w:r w:rsidRPr="007A6A22">
        <w:rPr>
          <w:rFonts w:ascii="Arial" w:eastAsiaTheme="minorHAnsi" w:hAnsi="Arial" w:cs="Arial"/>
          <w:color w:val="000000"/>
        </w:rPr>
        <w:t xml:space="preserve">Source: </w:t>
      </w:r>
      <w:hyperlink r:id="rId18" w:anchor="responsibilities-held-for-all-schools" w:history="1">
        <w:r w:rsidRPr="007A6A22">
          <w:rPr>
            <w:rFonts w:ascii="Arial" w:eastAsiaTheme="minorHAnsi" w:hAnsi="Arial" w:cs="Arial"/>
            <w:color w:val="0563C1" w:themeColor="hyperlink"/>
            <w:u w:val="single"/>
          </w:rPr>
          <w:t>Schools operational guide: 2023 to 2024 - GOV.UK (www.gov.uk)</w:t>
        </w:r>
      </w:hyperlink>
    </w:p>
    <w:p w14:paraId="53FC7D8B" w14:textId="77777777" w:rsidR="0012391D" w:rsidRPr="00D71D08" w:rsidRDefault="0012391D" w:rsidP="00406644">
      <w:pPr>
        <w:spacing w:after="160" w:line="259" w:lineRule="auto"/>
        <w:rPr>
          <w:rFonts w:ascii="Arial" w:hAnsi="Arial" w:cs="Arial"/>
          <w:b/>
        </w:rPr>
      </w:pPr>
    </w:p>
    <w:sectPr w:rsidR="0012391D" w:rsidRPr="00D71D08" w:rsidSect="00A3368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8A28" w14:textId="77777777" w:rsidR="00347438" w:rsidRDefault="00347438" w:rsidP="001D29E4">
      <w:r>
        <w:separator/>
      </w:r>
    </w:p>
  </w:endnote>
  <w:endnote w:type="continuationSeparator" w:id="0">
    <w:p w14:paraId="337767F2" w14:textId="77777777" w:rsidR="00347438" w:rsidRDefault="00347438" w:rsidP="001D29E4">
      <w:r>
        <w:continuationSeparator/>
      </w:r>
    </w:p>
  </w:endnote>
  <w:endnote w:type="continuationNotice" w:id="1">
    <w:p w14:paraId="2BD88B4B" w14:textId="77777777" w:rsidR="00347438" w:rsidRDefault="0034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544" w14:textId="15F724A8" w:rsidR="009F0886" w:rsidRDefault="009F0886">
    <w:pPr>
      <w:pStyle w:val="Footer"/>
    </w:pPr>
  </w:p>
  <w:p w14:paraId="457E44AE" w14:textId="77777777" w:rsidR="009F0886" w:rsidRDefault="009F0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C867" w14:textId="77777777" w:rsidR="00347438" w:rsidRDefault="00347438" w:rsidP="001D29E4">
      <w:r>
        <w:separator/>
      </w:r>
    </w:p>
  </w:footnote>
  <w:footnote w:type="continuationSeparator" w:id="0">
    <w:p w14:paraId="1487B5B8" w14:textId="77777777" w:rsidR="00347438" w:rsidRDefault="00347438" w:rsidP="001D29E4">
      <w:r>
        <w:continuationSeparator/>
      </w:r>
    </w:p>
  </w:footnote>
  <w:footnote w:type="continuationNotice" w:id="1">
    <w:p w14:paraId="4EBC95E8" w14:textId="77777777" w:rsidR="00347438" w:rsidRDefault="00347438"/>
  </w:footnote>
  <w:footnote w:id="2">
    <w:p w14:paraId="523326F6" w14:textId="498D17A2" w:rsidR="00A938D8" w:rsidRDefault="00A938D8">
      <w:pPr>
        <w:pStyle w:val="FootnoteText"/>
      </w:pPr>
      <w:r>
        <w:rPr>
          <w:rStyle w:val="FootnoteReference"/>
        </w:rPr>
        <w:footnoteRef/>
      </w:r>
      <w:r>
        <w:t xml:space="preserve"> </w:t>
      </w:r>
      <w:hyperlink r:id="rId1" w:history="1">
        <w:r w:rsidR="00EC207A">
          <w:rPr>
            <w:rStyle w:val="Hyperlink"/>
          </w:rPr>
          <w:t>Investment to shield schools from high energy bills and boost to budgets - GOV.UK (www.gov.uk)</w:t>
        </w:r>
      </w:hyperlink>
    </w:p>
  </w:footnote>
  <w:footnote w:id="3">
    <w:p w14:paraId="1AAAC8DB" w14:textId="160787BA" w:rsidR="0095306F" w:rsidRDefault="0095306F">
      <w:pPr>
        <w:pStyle w:val="FootnoteText"/>
      </w:pPr>
      <w:r>
        <w:rPr>
          <w:rStyle w:val="FootnoteReference"/>
        </w:rPr>
        <w:footnoteRef/>
      </w:r>
      <w:r>
        <w:t xml:space="preserve"> </w:t>
      </w:r>
      <w:hyperlink r:id="rId2" w:history="1">
        <w:r w:rsidR="00602A65">
          <w:rPr>
            <w:rStyle w:val="Hyperlink"/>
          </w:rPr>
          <w:t>Mainstream schools additional grant 2023 to 2024 - GOV.UK (www.gov.uk)</w:t>
        </w:r>
      </w:hyperlink>
    </w:p>
  </w:footnote>
  <w:footnote w:id="4">
    <w:p w14:paraId="1EE1F961" w14:textId="079B8423" w:rsidR="00B67954" w:rsidRDefault="00B67954">
      <w:pPr>
        <w:pStyle w:val="FootnoteText"/>
      </w:pPr>
      <w:r>
        <w:rPr>
          <w:rStyle w:val="FootnoteReference"/>
        </w:rPr>
        <w:footnoteRef/>
      </w:r>
      <w:r>
        <w:t xml:space="preserve"> </w:t>
      </w:r>
      <w:r w:rsidRPr="00B67954">
        <w:t>https://www.schools.norfolk.gov.uk/school-finance/norfolk-schools-forum/forum-agendas-and-papers</w:t>
      </w:r>
    </w:p>
  </w:footnote>
  <w:footnote w:id="5">
    <w:p w14:paraId="61BD4908" w14:textId="1DA56734" w:rsidR="0040522C" w:rsidRDefault="0040522C">
      <w:pPr>
        <w:pStyle w:val="FootnoteText"/>
      </w:pPr>
      <w:r>
        <w:rPr>
          <w:rStyle w:val="FootnoteReference"/>
        </w:rPr>
        <w:footnoteRef/>
      </w:r>
      <w:r>
        <w:t xml:space="preserve"> </w:t>
      </w:r>
      <w:r w:rsidRPr="0040522C">
        <w:t>https://www.norfolk.gov.uk/news/2018/06/norfolk-research-highlights-success-of-boarding-partnerships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5C6A" w14:textId="01C3758E" w:rsidR="009F0886" w:rsidRDefault="009F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678"/>
    <w:multiLevelType w:val="hybridMultilevel"/>
    <w:tmpl w:val="48E02F22"/>
    <w:lvl w:ilvl="0" w:tplc="B0C6536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71D1A77"/>
    <w:multiLevelType w:val="hybridMultilevel"/>
    <w:tmpl w:val="0F688FE4"/>
    <w:lvl w:ilvl="0" w:tplc="01DA6C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6723"/>
    <w:multiLevelType w:val="hybridMultilevel"/>
    <w:tmpl w:val="D832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72E75"/>
    <w:multiLevelType w:val="hybridMultilevel"/>
    <w:tmpl w:val="1968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C60E7"/>
    <w:multiLevelType w:val="hybridMultilevel"/>
    <w:tmpl w:val="6ECAD56C"/>
    <w:lvl w:ilvl="0" w:tplc="EAC89F0E">
      <w:start w:val="1"/>
      <w:numFmt w:val="lowerRoman"/>
      <w:lvlText w:val="(%1)"/>
      <w:lvlJc w:val="left"/>
      <w:pPr>
        <w:ind w:left="-2394" w:hanging="720"/>
      </w:pPr>
    </w:lvl>
    <w:lvl w:ilvl="1" w:tplc="08090019">
      <w:start w:val="1"/>
      <w:numFmt w:val="lowerLetter"/>
      <w:lvlText w:val="%2."/>
      <w:lvlJc w:val="left"/>
      <w:pPr>
        <w:ind w:left="-2034" w:hanging="360"/>
      </w:pPr>
    </w:lvl>
    <w:lvl w:ilvl="2" w:tplc="0809001B">
      <w:start w:val="1"/>
      <w:numFmt w:val="lowerRoman"/>
      <w:lvlText w:val="%3."/>
      <w:lvlJc w:val="right"/>
      <w:pPr>
        <w:ind w:left="-1314" w:hanging="180"/>
      </w:pPr>
    </w:lvl>
    <w:lvl w:ilvl="3" w:tplc="0809000F">
      <w:start w:val="1"/>
      <w:numFmt w:val="decimal"/>
      <w:lvlText w:val="%4."/>
      <w:lvlJc w:val="left"/>
      <w:pPr>
        <w:ind w:left="-594" w:hanging="360"/>
      </w:pPr>
    </w:lvl>
    <w:lvl w:ilvl="4" w:tplc="08090019">
      <w:start w:val="1"/>
      <w:numFmt w:val="lowerLetter"/>
      <w:lvlText w:val="%5."/>
      <w:lvlJc w:val="left"/>
      <w:pPr>
        <w:ind w:left="126" w:hanging="360"/>
      </w:pPr>
    </w:lvl>
    <w:lvl w:ilvl="5" w:tplc="0809001B">
      <w:start w:val="1"/>
      <w:numFmt w:val="lowerRoman"/>
      <w:lvlText w:val="%6."/>
      <w:lvlJc w:val="right"/>
      <w:pPr>
        <w:ind w:left="846" w:hanging="180"/>
      </w:pPr>
    </w:lvl>
    <w:lvl w:ilvl="6" w:tplc="0809000F">
      <w:start w:val="1"/>
      <w:numFmt w:val="decimal"/>
      <w:lvlText w:val="%7."/>
      <w:lvlJc w:val="left"/>
      <w:pPr>
        <w:ind w:left="1566" w:hanging="360"/>
      </w:pPr>
    </w:lvl>
    <w:lvl w:ilvl="7" w:tplc="08090019">
      <w:start w:val="1"/>
      <w:numFmt w:val="lowerLetter"/>
      <w:lvlText w:val="%8."/>
      <w:lvlJc w:val="left"/>
      <w:pPr>
        <w:ind w:left="2286" w:hanging="360"/>
      </w:pPr>
    </w:lvl>
    <w:lvl w:ilvl="8" w:tplc="0809001B">
      <w:start w:val="1"/>
      <w:numFmt w:val="lowerRoman"/>
      <w:lvlText w:val="%9."/>
      <w:lvlJc w:val="right"/>
      <w:pPr>
        <w:ind w:left="3006" w:hanging="180"/>
      </w:pPr>
    </w:lvl>
  </w:abstractNum>
  <w:abstractNum w:abstractNumId="5" w15:restartNumberingAfterBreak="0">
    <w:nsid w:val="1FBE7323"/>
    <w:multiLevelType w:val="hybridMultilevel"/>
    <w:tmpl w:val="A3DC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A28AD"/>
    <w:multiLevelType w:val="hybridMultilevel"/>
    <w:tmpl w:val="80C4671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27151155"/>
    <w:multiLevelType w:val="hybridMultilevel"/>
    <w:tmpl w:val="6ECAD56C"/>
    <w:lvl w:ilvl="0" w:tplc="EAC89F0E">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D3469BB"/>
    <w:multiLevelType w:val="hybridMultilevel"/>
    <w:tmpl w:val="19425042"/>
    <w:lvl w:ilvl="0" w:tplc="9334D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402BA"/>
    <w:multiLevelType w:val="multilevel"/>
    <w:tmpl w:val="AF20CB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411C93"/>
    <w:multiLevelType w:val="multilevel"/>
    <w:tmpl w:val="F344373A"/>
    <w:lvl w:ilvl="0">
      <w:start w:val="2"/>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AC61AD"/>
    <w:multiLevelType w:val="hybridMultilevel"/>
    <w:tmpl w:val="FD7E8B8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FB8273A"/>
    <w:multiLevelType w:val="hybridMultilevel"/>
    <w:tmpl w:val="4870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D004C"/>
    <w:multiLevelType w:val="hybridMultilevel"/>
    <w:tmpl w:val="F184EA40"/>
    <w:lvl w:ilvl="0" w:tplc="500A0C5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22BA6"/>
    <w:multiLevelType w:val="hybridMultilevel"/>
    <w:tmpl w:val="8E4E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40C46"/>
    <w:multiLevelType w:val="hybridMultilevel"/>
    <w:tmpl w:val="0CC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60ABD"/>
    <w:multiLevelType w:val="hybridMultilevel"/>
    <w:tmpl w:val="3A82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41DDD"/>
    <w:multiLevelType w:val="hybridMultilevel"/>
    <w:tmpl w:val="DE62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4B4777"/>
    <w:multiLevelType w:val="hybridMultilevel"/>
    <w:tmpl w:val="D3DAF5B8"/>
    <w:lvl w:ilvl="0" w:tplc="08090003">
      <w:start w:val="1"/>
      <w:numFmt w:val="bullet"/>
      <w:lvlText w:val="o"/>
      <w:lvlJc w:val="left"/>
      <w:pPr>
        <w:ind w:left="790" w:hanging="360"/>
      </w:pPr>
      <w:rPr>
        <w:rFonts w:ascii="Courier New" w:hAnsi="Courier New" w:cs="Courier New" w:hint="default"/>
      </w:rPr>
    </w:lvl>
    <w:lvl w:ilvl="1" w:tplc="FFFFFFFF" w:tentative="1">
      <w:start w:val="1"/>
      <w:numFmt w:val="bullet"/>
      <w:lvlText w:val="o"/>
      <w:lvlJc w:val="left"/>
      <w:pPr>
        <w:ind w:left="1510" w:hanging="360"/>
      </w:pPr>
      <w:rPr>
        <w:rFonts w:ascii="Courier New" w:hAnsi="Courier New" w:cs="Courier New" w:hint="default"/>
      </w:rPr>
    </w:lvl>
    <w:lvl w:ilvl="2" w:tplc="FFFFFFFF" w:tentative="1">
      <w:start w:val="1"/>
      <w:numFmt w:val="bullet"/>
      <w:lvlText w:val=""/>
      <w:lvlJc w:val="left"/>
      <w:pPr>
        <w:ind w:left="2230" w:hanging="360"/>
      </w:pPr>
      <w:rPr>
        <w:rFonts w:ascii="Wingdings" w:hAnsi="Wingdings" w:hint="default"/>
      </w:rPr>
    </w:lvl>
    <w:lvl w:ilvl="3" w:tplc="FFFFFFFF" w:tentative="1">
      <w:start w:val="1"/>
      <w:numFmt w:val="bullet"/>
      <w:lvlText w:val=""/>
      <w:lvlJc w:val="left"/>
      <w:pPr>
        <w:ind w:left="2950" w:hanging="360"/>
      </w:pPr>
      <w:rPr>
        <w:rFonts w:ascii="Symbol" w:hAnsi="Symbol" w:hint="default"/>
      </w:rPr>
    </w:lvl>
    <w:lvl w:ilvl="4" w:tplc="FFFFFFFF" w:tentative="1">
      <w:start w:val="1"/>
      <w:numFmt w:val="bullet"/>
      <w:lvlText w:val="o"/>
      <w:lvlJc w:val="left"/>
      <w:pPr>
        <w:ind w:left="3670" w:hanging="360"/>
      </w:pPr>
      <w:rPr>
        <w:rFonts w:ascii="Courier New" w:hAnsi="Courier New" w:cs="Courier New" w:hint="default"/>
      </w:rPr>
    </w:lvl>
    <w:lvl w:ilvl="5" w:tplc="FFFFFFFF" w:tentative="1">
      <w:start w:val="1"/>
      <w:numFmt w:val="bullet"/>
      <w:lvlText w:val=""/>
      <w:lvlJc w:val="left"/>
      <w:pPr>
        <w:ind w:left="4390" w:hanging="360"/>
      </w:pPr>
      <w:rPr>
        <w:rFonts w:ascii="Wingdings" w:hAnsi="Wingdings" w:hint="default"/>
      </w:rPr>
    </w:lvl>
    <w:lvl w:ilvl="6" w:tplc="FFFFFFFF" w:tentative="1">
      <w:start w:val="1"/>
      <w:numFmt w:val="bullet"/>
      <w:lvlText w:val=""/>
      <w:lvlJc w:val="left"/>
      <w:pPr>
        <w:ind w:left="5110" w:hanging="360"/>
      </w:pPr>
      <w:rPr>
        <w:rFonts w:ascii="Symbol" w:hAnsi="Symbol" w:hint="default"/>
      </w:rPr>
    </w:lvl>
    <w:lvl w:ilvl="7" w:tplc="FFFFFFFF" w:tentative="1">
      <w:start w:val="1"/>
      <w:numFmt w:val="bullet"/>
      <w:lvlText w:val="o"/>
      <w:lvlJc w:val="left"/>
      <w:pPr>
        <w:ind w:left="5830" w:hanging="360"/>
      </w:pPr>
      <w:rPr>
        <w:rFonts w:ascii="Courier New" w:hAnsi="Courier New" w:cs="Courier New" w:hint="default"/>
      </w:rPr>
    </w:lvl>
    <w:lvl w:ilvl="8" w:tplc="FFFFFFFF" w:tentative="1">
      <w:start w:val="1"/>
      <w:numFmt w:val="bullet"/>
      <w:lvlText w:val=""/>
      <w:lvlJc w:val="left"/>
      <w:pPr>
        <w:ind w:left="6550" w:hanging="360"/>
      </w:pPr>
      <w:rPr>
        <w:rFonts w:ascii="Wingdings" w:hAnsi="Wingdings" w:hint="default"/>
      </w:rPr>
    </w:lvl>
  </w:abstractNum>
  <w:abstractNum w:abstractNumId="19" w15:restartNumberingAfterBreak="0">
    <w:nsid w:val="4FC87811"/>
    <w:multiLevelType w:val="hybridMultilevel"/>
    <w:tmpl w:val="C7B0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31BD4"/>
    <w:multiLevelType w:val="multilevel"/>
    <w:tmpl w:val="D39800C2"/>
    <w:lvl w:ilvl="0">
      <w:start w:val="1"/>
      <w:numFmt w:val="decimal"/>
      <w:lvlText w:val="%1."/>
      <w:lvlJc w:val="left"/>
      <w:pPr>
        <w:ind w:left="720" w:hanging="360"/>
      </w:pPr>
      <w:rPr>
        <w:rFonts w:hint="default"/>
      </w:rPr>
    </w:lvl>
    <w:lvl w:ilvl="1">
      <w:start w:val="1"/>
      <w:numFmt w:val="decimal"/>
      <w:isLgl/>
      <w:lvlText w:val="%1.%2"/>
      <w:lvlJc w:val="left"/>
      <w:pPr>
        <w:ind w:left="1137" w:hanging="57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35F1EA7"/>
    <w:multiLevelType w:val="hybridMultilevel"/>
    <w:tmpl w:val="5710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31604"/>
    <w:multiLevelType w:val="multilevel"/>
    <w:tmpl w:val="B20CEF3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533053"/>
    <w:multiLevelType w:val="hybridMultilevel"/>
    <w:tmpl w:val="5314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4081C"/>
    <w:multiLevelType w:val="hybridMultilevel"/>
    <w:tmpl w:val="85326E2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00EDE"/>
    <w:multiLevelType w:val="hybridMultilevel"/>
    <w:tmpl w:val="22F6A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81B1733"/>
    <w:multiLevelType w:val="multilevel"/>
    <w:tmpl w:val="C9707C28"/>
    <w:lvl w:ilvl="0">
      <w:start w:val="1"/>
      <w:numFmt w:val="decimal"/>
      <w:pStyle w:val="Heading2"/>
      <w:lvlText w:val="%1."/>
      <w:lvlJc w:val="left"/>
      <w:pPr>
        <w:ind w:left="720" w:hanging="360"/>
      </w:pPr>
      <w:rPr>
        <w:rFonts w:hint="default"/>
      </w:r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896AF8"/>
    <w:multiLevelType w:val="hybridMultilevel"/>
    <w:tmpl w:val="00E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D54"/>
    <w:multiLevelType w:val="hybridMultilevel"/>
    <w:tmpl w:val="C9D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043F2"/>
    <w:multiLevelType w:val="hybridMultilevel"/>
    <w:tmpl w:val="DD7A3678"/>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7356734D"/>
    <w:multiLevelType w:val="hybridMultilevel"/>
    <w:tmpl w:val="4FEA1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6240A1"/>
    <w:multiLevelType w:val="hybridMultilevel"/>
    <w:tmpl w:val="084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EE52DB"/>
    <w:multiLevelType w:val="hybridMultilevel"/>
    <w:tmpl w:val="36642A2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3" w15:restartNumberingAfterBreak="0">
    <w:nsid w:val="77205D24"/>
    <w:multiLevelType w:val="hybridMultilevel"/>
    <w:tmpl w:val="E7A8BA6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6"/>
  </w:num>
  <w:num w:numId="4">
    <w:abstractNumId w:val="26"/>
  </w:num>
  <w:num w:numId="5">
    <w:abstractNumId w:val="19"/>
  </w:num>
  <w:num w:numId="6">
    <w:abstractNumId w:val="8"/>
  </w:num>
  <w:num w:numId="7">
    <w:abstractNumId w:val="33"/>
  </w:num>
  <w:num w:numId="8">
    <w:abstractNumId w:val="13"/>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4"/>
  </w:num>
  <w:num w:numId="16">
    <w:abstractNumId w:val="7"/>
  </w:num>
  <w:num w:numId="17">
    <w:abstractNumId w:val="29"/>
  </w:num>
  <w:num w:numId="18">
    <w:abstractNumId w:val="14"/>
  </w:num>
  <w:num w:numId="19">
    <w:abstractNumId w:val="16"/>
  </w:num>
  <w:num w:numId="20">
    <w:abstractNumId w:val="15"/>
  </w:num>
  <w:num w:numId="21">
    <w:abstractNumId w:val="22"/>
  </w:num>
  <w:num w:numId="22">
    <w:abstractNumId w:val="27"/>
  </w:num>
  <w:num w:numId="23">
    <w:abstractNumId w:val="23"/>
  </w:num>
  <w:num w:numId="24">
    <w:abstractNumId w:val="21"/>
  </w:num>
  <w:num w:numId="25">
    <w:abstractNumId w:val="1"/>
  </w:num>
  <w:num w:numId="26">
    <w:abstractNumId w:val="30"/>
  </w:num>
  <w:num w:numId="27">
    <w:abstractNumId w:val="12"/>
  </w:num>
  <w:num w:numId="28">
    <w:abstractNumId w:val="2"/>
  </w:num>
  <w:num w:numId="29">
    <w:abstractNumId w:val="3"/>
  </w:num>
  <w:num w:numId="30">
    <w:abstractNumId w:val="17"/>
  </w:num>
  <w:num w:numId="31">
    <w:abstractNumId w:val="5"/>
  </w:num>
  <w:num w:numId="32">
    <w:abstractNumId w:val="9"/>
  </w:num>
  <w:num w:numId="33">
    <w:abstractNumId w:val="20"/>
  </w:num>
  <w:num w:numId="34">
    <w:abstractNumId w:val="10"/>
  </w:num>
  <w:num w:numId="35">
    <w:abstractNumId w:val="1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44"/>
    <w:rsid w:val="00001CDF"/>
    <w:rsid w:val="00002558"/>
    <w:rsid w:val="0000285C"/>
    <w:rsid w:val="00003145"/>
    <w:rsid w:val="00003D27"/>
    <w:rsid w:val="000045C7"/>
    <w:rsid w:val="00004B29"/>
    <w:rsid w:val="000052B5"/>
    <w:rsid w:val="0000798B"/>
    <w:rsid w:val="00010831"/>
    <w:rsid w:val="000121BB"/>
    <w:rsid w:val="00012D8E"/>
    <w:rsid w:val="00013CD3"/>
    <w:rsid w:val="00013D9D"/>
    <w:rsid w:val="000149CA"/>
    <w:rsid w:val="0001528F"/>
    <w:rsid w:val="00015471"/>
    <w:rsid w:val="00015FB1"/>
    <w:rsid w:val="00016C1E"/>
    <w:rsid w:val="00017B2E"/>
    <w:rsid w:val="00020255"/>
    <w:rsid w:val="000205C6"/>
    <w:rsid w:val="00020812"/>
    <w:rsid w:val="000211D2"/>
    <w:rsid w:val="000214CF"/>
    <w:rsid w:val="00021C5A"/>
    <w:rsid w:val="00021D12"/>
    <w:rsid w:val="00021D38"/>
    <w:rsid w:val="00022520"/>
    <w:rsid w:val="00022A40"/>
    <w:rsid w:val="00023CD3"/>
    <w:rsid w:val="00023D65"/>
    <w:rsid w:val="000245EB"/>
    <w:rsid w:val="000249DE"/>
    <w:rsid w:val="00025A96"/>
    <w:rsid w:val="00025B46"/>
    <w:rsid w:val="000260AD"/>
    <w:rsid w:val="0002795D"/>
    <w:rsid w:val="00027BFC"/>
    <w:rsid w:val="00027D9B"/>
    <w:rsid w:val="0003016E"/>
    <w:rsid w:val="00032F9B"/>
    <w:rsid w:val="00032FA6"/>
    <w:rsid w:val="000337EF"/>
    <w:rsid w:val="00033CB8"/>
    <w:rsid w:val="00033D1E"/>
    <w:rsid w:val="00034E0E"/>
    <w:rsid w:val="000355E0"/>
    <w:rsid w:val="00035953"/>
    <w:rsid w:val="00035A96"/>
    <w:rsid w:val="00035B37"/>
    <w:rsid w:val="00036B3D"/>
    <w:rsid w:val="00036F31"/>
    <w:rsid w:val="00037605"/>
    <w:rsid w:val="0004050D"/>
    <w:rsid w:val="00041B5B"/>
    <w:rsid w:val="00041EE0"/>
    <w:rsid w:val="00042B40"/>
    <w:rsid w:val="00042E84"/>
    <w:rsid w:val="00043162"/>
    <w:rsid w:val="000432F4"/>
    <w:rsid w:val="00043F2F"/>
    <w:rsid w:val="00044FBE"/>
    <w:rsid w:val="00045053"/>
    <w:rsid w:val="0004577F"/>
    <w:rsid w:val="00045B38"/>
    <w:rsid w:val="000468E0"/>
    <w:rsid w:val="0005068B"/>
    <w:rsid w:val="0005171B"/>
    <w:rsid w:val="00051F8F"/>
    <w:rsid w:val="0005274A"/>
    <w:rsid w:val="00052CFF"/>
    <w:rsid w:val="000532D8"/>
    <w:rsid w:val="0005371F"/>
    <w:rsid w:val="00054962"/>
    <w:rsid w:val="00055367"/>
    <w:rsid w:val="00055427"/>
    <w:rsid w:val="00056ECC"/>
    <w:rsid w:val="0005745D"/>
    <w:rsid w:val="00057A08"/>
    <w:rsid w:val="00057AF0"/>
    <w:rsid w:val="00057DAD"/>
    <w:rsid w:val="00060178"/>
    <w:rsid w:val="00060233"/>
    <w:rsid w:val="00060B6D"/>
    <w:rsid w:val="00061031"/>
    <w:rsid w:val="00061BF9"/>
    <w:rsid w:val="00061E0B"/>
    <w:rsid w:val="00062044"/>
    <w:rsid w:val="0006216B"/>
    <w:rsid w:val="00062C3C"/>
    <w:rsid w:val="000630D8"/>
    <w:rsid w:val="000638DE"/>
    <w:rsid w:val="00063C7A"/>
    <w:rsid w:val="00064CE2"/>
    <w:rsid w:val="00064F05"/>
    <w:rsid w:val="000651DB"/>
    <w:rsid w:val="00065204"/>
    <w:rsid w:val="00065649"/>
    <w:rsid w:val="00065B4E"/>
    <w:rsid w:val="00066625"/>
    <w:rsid w:val="000671E7"/>
    <w:rsid w:val="00067824"/>
    <w:rsid w:val="00070127"/>
    <w:rsid w:val="00070399"/>
    <w:rsid w:val="00070E3A"/>
    <w:rsid w:val="00071A5D"/>
    <w:rsid w:val="00071B6C"/>
    <w:rsid w:val="00071F6A"/>
    <w:rsid w:val="00072048"/>
    <w:rsid w:val="0007301C"/>
    <w:rsid w:val="00073619"/>
    <w:rsid w:val="00074C3E"/>
    <w:rsid w:val="00074FBD"/>
    <w:rsid w:val="0007605F"/>
    <w:rsid w:val="00076152"/>
    <w:rsid w:val="0007659A"/>
    <w:rsid w:val="00076BBA"/>
    <w:rsid w:val="00076FF9"/>
    <w:rsid w:val="00077287"/>
    <w:rsid w:val="00077923"/>
    <w:rsid w:val="0008086F"/>
    <w:rsid w:val="00080BAD"/>
    <w:rsid w:val="00082860"/>
    <w:rsid w:val="00084C76"/>
    <w:rsid w:val="00085228"/>
    <w:rsid w:val="0008527C"/>
    <w:rsid w:val="000868E2"/>
    <w:rsid w:val="00086F87"/>
    <w:rsid w:val="00087F67"/>
    <w:rsid w:val="00090C98"/>
    <w:rsid w:val="00091231"/>
    <w:rsid w:val="00092A05"/>
    <w:rsid w:val="00092D37"/>
    <w:rsid w:val="00093A02"/>
    <w:rsid w:val="00094911"/>
    <w:rsid w:val="00094CAC"/>
    <w:rsid w:val="000955F2"/>
    <w:rsid w:val="000958DB"/>
    <w:rsid w:val="00096DDE"/>
    <w:rsid w:val="00096F7B"/>
    <w:rsid w:val="0009725E"/>
    <w:rsid w:val="000A0C2F"/>
    <w:rsid w:val="000A0F03"/>
    <w:rsid w:val="000A1AF7"/>
    <w:rsid w:val="000A2D0A"/>
    <w:rsid w:val="000A2EB7"/>
    <w:rsid w:val="000A2EBE"/>
    <w:rsid w:val="000A30E6"/>
    <w:rsid w:val="000A326A"/>
    <w:rsid w:val="000A3C38"/>
    <w:rsid w:val="000A45E5"/>
    <w:rsid w:val="000A478B"/>
    <w:rsid w:val="000A4DA5"/>
    <w:rsid w:val="000A5126"/>
    <w:rsid w:val="000A5899"/>
    <w:rsid w:val="000A58CD"/>
    <w:rsid w:val="000A5ECE"/>
    <w:rsid w:val="000A6878"/>
    <w:rsid w:val="000A7EA6"/>
    <w:rsid w:val="000B0E49"/>
    <w:rsid w:val="000B0E9F"/>
    <w:rsid w:val="000B13A7"/>
    <w:rsid w:val="000B25B6"/>
    <w:rsid w:val="000B2DA5"/>
    <w:rsid w:val="000B30AF"/>
    <w:rsid w:val="000B4008"/>
    <w:rsid w:val="000B478D"/>
    <w:rsid w:val="000B4CDA"/>
    <w:rsid w:val="000B5436"/>
    <w:rsid w:val="000B5A94"/>
    <w:rsid w:val="000B5AE5"/>
    <w:rsid w:val="000B65A4"/>
    <w:rsid w:val="000B67F9"/>
    <w:rsid w:val="000C0B62"/>
    <w:rsid w:val="000C249D"/>
    <w:rsid w:val="000C2BB9"/>
    <w:rsid w:val="000C315B"/>
    <w:rsid w:val="000C43B5"/>
    <w:rsid w:val="000C652C"/>
    <w:rsid w:val="000C6825"/>
    <w:rsid w:val="000C78E1"/>
    <w:rsid w:val="000D1024"/>
    <w:rsid w:val="000D123B"/>
    <w:rsid w:val="000D22F1"/>
    <w:rsid w:val="000D23CC"/>
    <w:rsid w:val="000D2A65"/>
    <w:rsid w:val="000D3179"/>
    <w:rsid w:val="000D319A"/>
    <w:rsid w:val="000D378C"/>
    <w:rsid w:val="000D39D2"/>
    <w:rsid w:val="000D6046"/>
    <w:rsid w:val="000D645D"/>
    <w:rsid w:val="000D68F4"/>
    <w:rsid w:val="000D68F8"/>
    <w:rsid w:val="000D6FD3"/>
    <w:rsid w:val="000D7330"/>
    <w:rsid w:val="000D74FF"/>
    <w:rsid w:val="000D798C"/>
    <w:rsid w:val="000E1075"/>
    <w:rsid w:val="000E1B84"/>
    <w:rsid w:val="000E2219"/>
    <w:rsid w:val="000E2ACE"/>
    <w:rsid w:val="000E2D47"/>
    <w:rsid w:val="000E35CE"/>
    <w:rsid w:val="000E37DC"/>
    <w:rsid w:val="000E45E6"/>
    <w:rsid w:val="000E4952"/>
    <w:rsid w:val="000E51D2"/>
    <w:rsid w:val="000E58D0"/>
    <w:rsid w:val="000E62ED"/>
    <w:rsid w:val="000E6430"/>
    <w:rsid w:val="000E7114"/>
    <w:rsid w:val="000E7439"/>
    <w:rsid w:val="000E7508"/>
    <w:rsid w:val="000E7581"/>
    <w:rsid w:val="000E777D"/>
    <w:rsid w:val="000E7EE8"/>
    <w:rsid w:val="000F0591"/>
    <w:rsid w:val="000F05CE"/>
    <w:rsid w:val="000F0701"/>
    <w:rsid w:val="000F0B1C"/>
    <w:rsid w:val="000F0C9F"/>
    <w:rsid w:val="000F14A4"/>
    <w:rsid w:val="000F2188"/>
    <w:rsid w:val="000F2203"/>
    <w:rsid w:val="000F237A"/>
    <w:rsid w:val="000F3137"/>
    <w:rsid w:val="000F3F2E"/>
    <w:rsid w:val="000F472B"/>
    <w:rsid w:val="000F54D6"/>
    <w:rsid w:val="000F59AB"/>
    <w:rsid w:val="000F61B1"/>
    <w:rsid w:val="000F6E24"/>
    <w:rsid w:val="000F6F1D"/>
    <w:rsid w:val="000F79D9"/>
    <w:rsid w:val="000F7B64"/>
    <w:rsid w:val="001010AF"/>
    <w:rsid w:val="001020A4"/>
    <w:rsid w:val="00102E3C"/>
    <w:rsid w:val="001031D5"/>
    <w:rsid w:val="00103704"/>
    <w:rsid w:val="00103849"/>
    <w:rsid w:val="00103F82"/>
    <w:rsid w:val="00104F5C"/>
    <w:rsid w:val="00104F5D"/>
    <w:rsid w:val="001060CC"/>
    <w:rsid w:val="001062D1"/>
    <w:rsid w:val="001069BB"/>
    <w:rsid w:val="0010720B"/>
    <w:rsid w:val="00110653"/>
    <w:rsid w:val="00110AE7"/>
    <w:rsid w:val="00110C28"/>
    <w:rsid w:val="00111441"/>
    <w:rsid w:val="00112E7D"/>
    <w:rsid w:val="001133D5"/>
    <w:rsid w:val="00113471"/>
    <w:rsid w:val="00113F00"/>
    <w:rsid w:val="00114CA5"/>
    <w:rsid w:val="00115A8E"/>
    <w:rsid w:val="00115CAC"/>
    <w:rsid w:val="0011603E"/>
    <w:rsid w:val="001169E3"/>
    <w:rsid w:val="00116BB1"/>
    <w:rsid w:val="00116E28"/>
    <w:rsid w:val="00120AF0"/>
    <w:rsid w:val="001212D4"/>
    <w:rsid w:val="00122C91"/>
    <w:rsid w:val="00122D8E"/>
    <w:rsid w:val="0012340F"/>
    <w:rsid w:val="0012391D"/>
    <w:rsid w:val="0012410D"/>
    <w:rsid w:val="00124E09"/>
    <w:rsid w:val="0012506A"/>
    <w:rsid w:val="00125D46"/>
    <w:rsid w:val="001270FE"/>
    <w:rsid w:val="001275DF"/>
    <w:rsid w:val="00127E88"/>
    <w:rsid w:val="00130DBE"/>
    <w:rsid w:val="00131739"/>
    <w:rsid w:val="00131A07"/>
    <w:rsid w:val="00131F22"/>
    <w:rsid w:val="00132723"/>
    <w:rsid w:val="001344A4"/>
    <w:rsid w:val="0013463F"/>
    <w:rsid w:val="001347EC"/>
    <w:rsid w:val="001353F0"/>
    <w:rsid w:val="001354C6"/>
    <w:rsid w:val="00135862"/>
    <w:rsid w:val="00136D88"/>
    <w:rsid w:val="001379C8"/>
    <w:rsid w:val="00137CBB"/>
    <w:rsid w:val="001412DA"/>
    <w:rsid w:val="0014223F"/>
    <w:rsid w:val="001427FE"/>
    <w:rsid w:val="00142B42"/>
    <w:rsid w:val="00143DB4"/>
    <w:rsid w:val="00143EC5"/>
    <w:rsid w:val="0014423F"/>
    <w:rsid w:val="00144F01"/>
    <w:rsid w:val="00145527"/>
    <w:rsid w:val="00146B61"/>
    <w:rsid w:val="00146ECC"/>
    <w:rsid w:val="00146F57"/>
    <w:rsid w:val="00147033"/>
    <w:rsid w:val="001477BE"/>
    <w:rsid w:val="00147D01"/>
    <w:rsid w:val="00147DF6"/>
    <w:rsid w:val="00147FAE"/>
    <w:rsid w:val="0015051C"/>
    <w:rsid w:val="001506FE"/>
    <w:rsid w:val="001509A7"/>
    <w:rsid w:val="00150BC9"/>
    <w:rsid w:val="00150CA4"/>
    <w:rsid w:val="00150E91"/>
    <w:rsid w:val="0015121D"/>
    <w:rsid w:val="001512BD"/>
    <w:rsid w:val="00152D44"/>
    <w:rsid w:val="00152D8D"/>
    <w:rsid w:val="00152F96"/>
    <w:rsid w:val="00154C52"/>
    <w:rsid w:val="00155380"/>
    <w:rsid w:val="00155678"/>
    <w:rsid w:val="001563D5"/>
    <w:rsid w:val="00156731"/>
    <w:rsid w:val="00156ED8"/>
    <w:rsid w:val="001603CB"/>
    <w:rsid w:val="001604A1"/>
    <w:rsid w:val="001609A8"/>
    <w:rsid w:val="00162071"/>
    <w:rsid w:val="00162138"/>
    <w:rsid w:val="0016245F"/>
    <w:rsid w:val="00163AD9"/>
    <w:rsid w:val="00163C57"/>
    <w:rsid w:val="0016490F"/>
    <w:rsid w:val="0016535C"/>
    <w:rsid w:val="00166DDC"/>
    <w:rsid w:val="00166E64"/>
    <w:rsid w:val="001671D6"/>
    <w:rsid w:val="00170792"/>
    <w:rsid w:val="00170936"/>
    <w:rsid w:val="00170EEF"/>
    <w:rsid w:val="00172310"/>
    <w:rsid w:val="001724BF"/>
    <w:rsid w:val="00172541"/>
    <w:rsid w:val="0017267E"/>
    <w:rsid w:val="00172CEA"/>
    <w:rsid w:val="0017403E"/>
    <w:rsid w:val="00174804"/>
    <w:rsid w:val="00174B46"/>
    <w:rsid w:val="00175200"/>
    <w:rsid w:val="00176E6D"/>
    <w:rsid w:val="00176F21"/>
    <w:rsid w:val="00177709"/>
    <w:rsid w:val="0017788E"/>
    <w:rsid w:val="001800B8"/>
    <w:rsid w:val="0018016A"/>
    <w:rsid w:val="00180347"/>
    <w:rsid w:val="001803A9"/>
    <w:rsid w:val="00181749"/>
    <w:rsid w:val="00181862"/>
    <w:rsid w:val="0018196A"/>
    <w:rsid w:val="00182424"/>
    <w:rsid w:val="00182643"/>
    <w:rsid w:val="00182EB3"/>
    <w:rsid w:val="001832F7"/>
    <w:rsid w:val="001838E7"/>
    <w:rsid w:val="0018571F"/>
    <w:rsid w:val="001862E9"/>
    <w:rsid w:val="00186323"/>
    <w:rsid w:val="00187367"/>
    <w:rsid w:val="00187DCE"/>
    <w:rsid w:val="00191A77"/>
    <w:rsid w:val="00191A97"/>
    <w:rsid w:val="00192167"/>
    <w:rsid w:val="001925EE"/>
    <w:rsid w:val="00192B72"/>
    <w:rsid w:val="00192C94"/>
    <w:rsid w:val="00192DA8"/>
    <w:rsid w:val="00193FD8"/>
    <w:rsid w:val="0019402A"/>
    <w:rsid w:val="0019458B"/>
    <w:rsid w:val="00194B26"/>
    <w:rsid w:val="00195B15"/>
    <w:rsid w:val="00195BC1"/>
    <w:rsid w:val="001971F8"/>
    <w:rsid w:val="00197B67"/>
    <w:rsid w:val="00197CC1"/>
    <w:rsid w:val="001A00F3"/>
    <w:rsid w:val="001A126D"/>
    <w:rsid w:val="001A35C1"/>
    <w:rsid w:val="001A4BA3"/>
    <w:rsid w:val="001A5FA0"/>
    <w:rsid w:val="001A663F"/>
    <w:rsid w:val="001A6840"/>
    <w:rsid w:val="001A755D"/>
    <w:rsid w:val="001B2186"/>
    <w:rsid w:val="001B21FD"/>
    <w:rsid w:val="001B2F69"/>
    <w:rsid w:val="001B3BA1"/>
    <w:rsid w:val="001B3D75"/>
    <w:rsid w:val="001B4938"/>
    <w:rsid w:val="001B4DA0"/>
    <w:rsid w:val="001B4FCB"/>
    <w:rsid w:val="001B6827"/>
    <w:rsid w:val="001B6A76"/>
    <w:rsid w:val="001B6AEB"/>
    <w:rsid w:val="001B6D57"/>
    <w:rsid w:val="001B6EAA"/>
    <w:rsid w:val="001B71CC"/>
    <w:rsid w:val="001B7367"/>
    <w:rsid w:val="001C06D3"/>
    <w:rsid w:val="001C0FF8"/>
    <w:rsid w:val="001C1046"/>
    <w:rsid w:val="001C1580"/>
    <w:rsid w:val="001C44D2"/>
    <w:rsid w:val="001C4672"/>
    <w:rsid w:val="001C52D8"/>
    <w:rsid w:val="001C5784"/>
    <w:rsid w:val="001C64E1"/>
    <w:rsid w:val="001D1001"/>
    <w:rsid w:val="001D1BC4"/>
    <w:rsid w:val="001D1DEA"/>
    <w:rsid w:val="001D29E4"/>
    <w:rsid w:val="001D31E6"/>
    <w:rsid w:val="001D3CD2"/>
    <w:rsid w:val="001D48DC"/>
    <w:rsid w:val="001D4A8C"/>
    <w:rsid w:val="001D4ED8"/>
    <w:rsid w:val="001D4F0E"/>
    <w:rsid w:val="001D53A0"/>
    <w:rsid w:val="001D57DE"/>
    <w:rsid w:val="001D600E"/>
    <w:rsid w:val="001D631C"/>
    <w:rsid w:val="001D6B25"/>
    <w:rsid w:val="001E02D0"/>
    <w:rsid w:val="001E067C"/>
    <w:rsid w:val="001E0C31"/>
    <w:rsid w:val="001E0CC0"/>
    <w:rsid w:val="001E0CD7"/>
    <w:rsid w:val="001E15CC"/>
    <w:rsid w:val="001E1908"/>
    <w:rsid w:val="001E23B7"/>
    <w:rsid w:val="001E23E8"/>
    <w:rsid w:val="001E26BA"/>
    <w:rsid w:val="001E3320"/>
    <w:rsid w:val="001E3C9E"/>
    <w:rsid w:val="001E3EAC"/>
    <w:rsid w:val="001E4537"/>
    <w:rsid w:val="001E4D85"/>
    <w:rsid w:val="001E5533"/>
    <w:rsid w:val="001E6B52"/>
    <w:rsid w:val="001E74B5"/>
    <w:rsid w:val="001F0B47"/>
    <w:rsid w:val="001F0CBD"/>
    <w:rsid w:val="001F11F9"/>
    <w:rsid w:val="001F1234"/>
    <w:rsid w:val="001F17DC"/>
    <w:rsid w:val="001F2049"/>
    <w:rsid w:val="001F35FC"/>
    <w:rsid w:val="001F3C14"/>
    <w:rsid w:val="001F3F95"/>
    <w:rsid w:val="001F416E"/>
    <w:rsid w:val="001F5822"/>
    <w:rsid w:val="001F5B02"/>
    <w:rsid w:val="001F5BB9"/>
    <w:rsid w:val="001F73D8"/>
    <w:rsid w:val="00200332"/>
    <w:rsid w:val="002008FD"/>
    <w:rsid w:val="00201858"/>
    <w:rsid w:val="002018B4"/>
    <w:rsid w:val="002028E8"/>
    <w:rsid w:val="00203BCE"/>
    <w:rsid w:val="002050BF"/>
    <w:rsid w:val="002076E0"/>
    <w:rsid w:val="00210261"/>
    <w:rsid w:val="002107EC"/>
    <w:rsid w:val="002109DD"/>
    <w:rsid w:val="00211507"/>
    <w:rsid w:val="00212F01"/>
    <w:rsid w:val="00212F88"/>
    <w:rsid w:val="00213F18"/>
    <w:rsid w:val="002141DB"/>
    <w:rsid w:val="00215ABE"/>
    <w:rsid w:val="00216B81"/>
    <w:rsid w:val="0021703C"/>
    <w:rsid w:val="0021738B"/>
    <w:rsid w:val="002175F0"/>
    <w:rsid w:val="00220359"/>
    <w:rsid w:val="002220F0"/>
    <w:rsid w:val="00222205"/>
    <w:rsid w:val="0022245C"/>
    <w:rsid w:val="00222756"/>
    <w:rsid w:val="00223B0F"/>
    <w:rsid w:val="00224BF2"/>
    <w:rsid w:val="00226075"/>
    <w:rsid w:val="0022653E"/>
    <w:rsid w:val="002303A3"/>
    <w:rsid w:val="002304BA"/>
    <w:rsid w:val="00231CE7"/>
    <w:rsid w:val="00231D87"/>
    <w:rsid w:val="00232210"/>
    <w:rsid w:val="002324A4"/>
    <w:rsid w:val="00232FE2"/>
    <w:rsid w:val="002332DB"/>
    <w:rsid w:val="0023357C"/>
    <w:rsid w:val="00235685"/>
    <w:rsid w:val="00236090"/>
    <w:rsid w:val="002378FD"/>
    <w:rsid w:val="00237AD1"/>
    <w:rsid w:val="002401E5"/>
    <w:rsid w:val="00240FF6"/>
    <w:rsid w:val="00242BD1"/>
    <w:rsid w:val="0024367B"/>
    <w:rsid w:val="002449A4"/>
    <w:rsid w:val="00244A39"/>
    <w:rsid w:val="00244C73"/>
    <w:rsid w:val="00245A60"/>
    <w:rsid w:val="00246FF6"/>
    <w:rsid w:val="00247245"/>
    <w:rsid w:val="0024751D"/>
    <w:rsid w:val="00247BFE"/>
    <w:rsid w:val="00247EC5"/>
    <w:rsid w:val="0025031D"/>
    <w:rsid w:val="00250A12"/>
    <w:rsid w:val="002510FE"/>
    <w:rsid w:val="002517C1"/>
    <w:rsid w:val="00251FFD"/>
    <w:rsid w:val="002528F4"/>
    <w:rsid w:val="00254779"/>
    <w:rsid w:val="00255F43"/>
    <w:rsid w:val="00256138"/>
    <w:rsid w:val="00256278"/>
    <w:rsid w:val="00256A6E"/>
    <w:rsid w:val="00257025"/>
    <w:rsid w:val="002574CA"/>
    <w:rsid w:val="00260873"/>
    <w:rsid w:val="002608F3"/>
    <w:rsid w:val="00262149"/>
    <w:rsid w:val="002631E5"/>
    <w:rsid w:val="002640CA"/>
    <w:rsid w:val="00264388"/>
    <w:rsid w:val="002648E5"/>
    <w:rsid w:val="00264932"/>
    <w:rsid w:val="00264B20"/>
    <w:rsid w:val="002655DB"/>
    <w:rsid w:val="00265E30"/>
    <w:rsid w:val="0026725A"/>
    <w:rsid w:val="00267742"/>
    <w:rsid w:val="00267BE1"/>
    <w:rsid w:val="00270156"/>
    <w:rsid w:val="0027039A"/>
    <w:rsid w:val="00270761"/>
    <w:rsid w:val="00270A83"/>
    <w:rsid w:val="00270CF0"/>
    <w:rsid w:val="00271991"/>
    <w:rsid w:val="0027241D"/>
    <w:rsid w:val="0027260C"/>
    <w:rsid w:val="00272866"/>
    <w:rsid w:val="00272F62"/>
    <w:rsid w:val="00273285"/>
    <w:rsid w:val="00274032"/>
    <w:rsid w:val="00275779"/>
    <w:rsid w:val="00275A9A"/>
    <w:rsid w:val="0027606D"/>
    <w:rsid w:val="002760C7"/>
    <w:rsid w:val="00277378"/>
    <w:rsid w:val="0027755C"/>
    <w:rsid w:val="002776CE"/>
    <w:rsid w:val="0028044A"/>
    <w:rsid w:val="002807BB"/>
    <w:rsid w:val="00280998"/>
    <w:rsid w:val="00281336"/>
    <w:rsid w:val="002823D5"/>
    <w:rsid w:val="00282E86"/>
    <w:rsid w:val="002832DD"/>
    <w:rsid w:val="00283C83"/>
    <w:rsid w:val="00284286"/>
    <w:rsid w:val="002843B6"/>
    <w:rsid w:val="00284726"/>
    <w:rsid w:val="00284C92"/>
    <w:rsid w:val="00284E5E"/>
    <w:rsid w:val="00285250"/>
    <w:rsid w:val="0028556E"/>
    <w:rsid w:val="0028578D"/>
    <w:rsid w:val="00286387"/>
    <w:rsid w:val="00286880"/>
    <w:rsid w:val="00286C3F"/>
    <w:rsid w:val="00286F51"/>
    <w:rsid w:val="0029061E"/>
    <w:rsid w:val="002908AF"/>
    <w:rsid w:val="002915C0"/>
    <w:rsid w:val="00291748"/>
    <w:rsid w:val="00291AC1"/>
    <w:rsid w:val="00291CE6"/>
    <w:rsid w:val="00292DD3"/>
    <w:rsid w:val="0029386A"/>
    <w:rsid w:val="00293F34"/>
    <w:rsid w:val="00293FD6"/>
    <w:rsid w:val="002950CD"/>
    <w:rsid w:val="00296F57"/>
    <w:rsid w:val="00297571"/>
    <w:rsid w:val="00297AFB"/>
    <w:rsid w:val="002A1169"/>
    <w:rsid w:val="002A2A2A"/>
    <w:rsid w:val="002A3D8C"/>
    <w:rsid w:val="002A5980"/>
    <w:rsid w:val="002A6890"/>
    <w:rsid w:val="002A6E4A"/>
    <w:rsid w:val="002A72C5"/>
    <w:rsid w:val="002A7E3C"/>
    <w:rsid w:val="002B0CA1"/>
    <w:rsid w:val="002B14DC"/>
    <w:rsid w:val="002B153D"/>
    <w:rsid w:val="002B17DF"/>
    <w:rsid w:val="002B3D08"/>
    <w:rsid w:val="002B3EA3"/>
    <w:rsid w:val="002B4854"/>
    <w:rsid w:val="002B4D36"/>
    <w:rsid w:val="002B4F4C"/>
    <w:rsid w:val="002B534B"/>
    <w:rsid w:val="002B5951"/>
    <w:rsid w:val="002B61A5"/>
    <w:rsid w:val="002B6568"/>
    <w:rsid w:val="002C1163"/>
    <w:rsid w:val="002C2598"/>
    <w:rsid w:val="002C3AC3"/>
    <w:rsid w:val="002C3C9F"/>
    <w:rsid w:val="002C4374"/>
    <w:rsid w:val="002C51F4"/>
    <w:rsid w:val="002C738E"/>
    <w:rsid w:val="002C7ED8"/>
    <w:rsid w:val="002D048D"/>
    <w:rsid w:val="002D068C"/>
    <w:rsid w:val="002D07F9"/>
    <w:rsid w:val="002D0CD9"/>
    <w:rsid w:val="002D1741"/>
    <w:rsid w:val="002D17FB"/>
    <w:rsid w:val="002D18CD"/>
    <w:rsid w:val="002D1D3D"/>
    <w:rsid w:val="002D21DD"/>
    <w:rsid w:val="002D225D"/>
    <w:rsid w:val="002D2527"/>
    <w:rsid w:val="002D397D"/>
    <w:rsid w:val="002D3CDB"/>
    <w:rsid w:val="002D3D7B"/>
    <w:rsid w:val="002D4924"/>
    <w:rsid w:val="002D49E8"/>
    <w:rsid w:val="002D4E62"/>
    <w:rsid w:val="002D5906"/>
    <w:rsid w:val="002D6E45"/>
    <w:rsid w:val="002D6EFA"/>
    <w:rsid w:val="002E0B55"/>
    <w:rsid w:val="002E14DE"/>
    <w:rsid w:val="002E1DAF"/>
    <w:rsid w:val="002E1EDA"/>
    <w:rsid w:val="002E20D8"/>
    <w:rsid w:val="002E2129"/>
    <w:rsid w:val="002E28EA"/>
    <w:rsid w:val="002E354B"/>
    <w:rsid w:val="002E3769"/>
    <w:rsid w:val="002E3F1E"/>
    <w:rsid w:val="002E4319"/>
    <w:rsid w:val="002E44D2"/>
    <w:rsid w:val="002E6DD0"/>
    <w:rsid w:val="002E6F16"/>
    <w:rsid w:val="002E6F3D"/>
    <w:rsid w:val="002E7808"/>
    <w:rsid w:val="002E7B5C"/>
    <w:rsid w:val="002E7D42"/>
    <w:rsid w:val="002F09ED"/>
    <w:rsid w:val="002F0BE2"/>
    <w:rsid w:val="002F207C"/>
    <w:rsid w:val="002F2425"/>
    <w:rsid w:val="002F2535"/>
    <w:rsid w:val="002F2820"/>
    <w:rsid w:val="002F2917"/>
    <w:rsid w:val="002F309E"/>
    <w:rsid w:val="002F315D"/>
    <w:rsid w:val="002F5C35"/>
    <w:rsid w:val="002F604D"/>
    <w:rsid w:val="002F74F1"/>
    <w:rsid w:val="002F75FF"/>
    <w:rsid w:val="002F7C65"/>
    <w:rsid w:val="002F7CB8"/>
    <w:rsid w:val="002F7DC5"/>
    <w:rsid w:val="00300637"/>
    <w:rsid w:val="003006D9"/>
    <w:rsid w:val="0030092A"/>
    <w:rsid w:val="0030229D"/>
    <w:rsid w:val="003022B9"/>
    <w:rsid w:val="00303FED"/>
    <w:rsid w:val="00304757"/>
    <w:rsid w:val="00305562"/>
    <w:rsid w:val="00305CA6"/>
    <w:rsid w:val="003060D6"/>
    <w:rsid w:val="00306531"/>
    <w:rsid w:val="00306610"/>
    <w:rsid w:val="00307025"/>
    <w:rsid w:val="00307124"/>
    <w:rsid w:val="00307DB5"/>
    <w:rsid w:val="00310418"/>
    <w:rsid w:val="00311404"/>
    <w:rsid w:val="00311692"/>
    <w:rsid w:val="00311F90"/>
    <w:rsid w:val="003141BC"/>
    <w:rsid w:val="00315595"/>
    <w:rsid w:val="00315A7D"/>
    <w:rsid w:val="00315D8D"/>
    <w:rsid w:val="00316E0F"/>
    <w:rsid w:val="0031710E"/>
    <w:rsid w:val="00317E6C"/>
    <w:rsid w:val="00317FB7"/>
    <w:rsid w:val="0032065E"/>
    <w:rsid w:val="003212EE"/>
    <w:rsid w:val="003213FD"/>
    <w:rsid w:val="00321CF8"/>
    <w:rsid w:val="003228F4"/>
    <w:rsid w:val="00323159"/>
    <w:rsid w:val="003237A1"/>
    <w:rsid w:val="00324315"/>
    <w:rsid w:val="00324C0C"/>
    <w:rsid w:val="00324C53"/>
    <w:rsid w:val="003250A7"/>
    <w:rsid w:val="0032572C"/>
    <w:rsid w:val="003263B3"/>
    <w:rsid w:val="00326C5A"/>
    <w:rsid w:val="00327665"/>
    <w:rsid w:val="003277CB"/>
    <w:rsid w:val="003278E9"/>
    <w:rsid w:val="00327A23"/>
    <w:rsid w:val="00327ED7"/>
    <w:rsid w:val="00330870"/>
    <w:rsid w:val="00330BF6"/>
    <w:rsid w:val="0033103A"/>
    <w:rsid w:val="00332391"/>
    <w:rsid w:val="00332528"/>
    <w:rsid w:val="00334786"/>
    <w:rsid w:val="00334B48"/>
    <w:rsid w:val="00335346"/>
    <w:rsid w:val="00335673"/>
    <w:rsid w:val="003366BD"/>
    <w:rsid w:val="00336758"/>
    <w:rsid w:val="00337764"/>
    <w:rsid w:val="00337B4D"/>
    <w:rsid w:val="003402E0"/>
    <w:rsid w:val="003419EF"/>
    <w:rsid w:val="00341DF5"/>
    <w:rsid w:val="003423DB"/>
    <w:rsid w:val="00342D1C"/>
    <w:rsid w:val="00343D1E"/>
    <w:rsid w:val="00343D61"/>
    <w:rsid w:val="00345BBF"/>
    <w:rsid w:val="003469F8"/>
    <w:rsid w:val="00347438"/>
    <w:rsid w:val="00347B47"/>
    <w:rsid w:val="0035069A"/>
    <w:rsid w:val="003548AF"/>
    <w:rsid w:val="00354D33"/>
    <w:rsid w:val="00355815"/>
    <w:rsid w:val="00356880"/>
    <w:rsid w:val="00357079"/>
    <w:rsid w:val="00357EC2"/>
    <w:rsid w:val="00360979"/>
    <w:rsid w:val="0036175E"/>
    <w:rsid w:val="00361DEE"/>
    <w:rsid w:val="00363546"/>
    <w:rsid w:val="00364018"/>
    <w:rsid w:val="0036467E"/>
    <w:rsid w:val="00365B82"/>
    <w:rsid w:val="00365DA3"/>
    <w:rsid w:val="003664FE"/>
    <w:rsid w:val="00366F37"/>
    <w:rsid w:val="00366F3B"/>
    <w:rsid w:val="003677EA"/>
    <w:rsid w:val="00370ED8"/>
    <w:rsid w:val="00370F30"/>
    <w:rsid w:val="00370F87"/>
    <w:rsid w:val="0037163D"/>
    <w:rsid w:val="003717E5"/>
    <w:rsid w:val="00371F17"/>
    <w:rsid w:val="00372418"/>
    <w:rsid w:val="0037264D"/>
    <w:rsid w:val="00372E3F"/>
    <w:rsid w:val="00372F93"/>
    <w:rsid w:val="00373579"/>
    <w:rsid w:val="00373C42"/>
    <w:rsid w:val="00373ECF"/>
    <w:rsid w:val="003746A3"/>
    <w:rsid w:val="0037486B"/>
    <w:rsid w:val="003751C0"/>
    <w:rsid w:val="00375432"/>
    <w:rsid w:val="003756A2"/>
    <w:rsid w:val="00375792"/>
    <w:rsid w:val="003761F9"/>
    <w:rsid w:val="00376798"/>
    <w:rsid w:val="00377603"/>
    <w:rsid w:val="003800C4"/>
    <w:rsid w:val="003800C8"/>
    <w:rsid w:val="003800EB"/>
    <w:rsid w:val="00380203"/>
    <w:rsid w:val="00380D99"/>
    <w:rsid w:val="00381F8D"/>
    <w:rsid w:val="0038254D"/>
    <w:rsid w:val="00382D45"/>
    <w:rsid w:val="003835F5"/>
    <w:rsid w:val="00383AC7"/>
    <w:rsid w:val="003841EC"/>
    <w:rsid w:val="00385116"/>
    <w:rsid w:val="00385C56"/>
    <w:rsid w:val="00386079"/>
    <w:rsid w:val="003865A0"/>
    <w:rsid w:val="00386D6B"/>
    <w:rsid w:val="00386DCF"/>
    <w:rsid w:val="00391065"/>
    <w:rsid w:val="003912FE"/>
    <w:rsid w:val="0039146F"/>
    <w:rsid w:val="003914AC"/>
    <w:rsid w:val="00391651"/>
    <w:rsid w:val="0039262B"/>
    <w:rsid w:val="003931D5"/>
    <w:rsid w:val="00393296"/>
    <w:rsid w:val="00393B85"/>
    <w:rsid w:val="00394067"/>
    <w:rsid w:val="0039456B"/>
    <w:rsid w:val="00395F54"/>
    <w:rsid w:val="0039648C"/>
    <w:rsid w:val="00396B7C"/>
    <w:rsid w:val="00396C57"/>
    <w:rsid w:val="00396E9D"/>
    <w:rsid w:val="00396EC6"/>
    <w:rsid w:val="003974E6"/>
    <w:rsid w:val="0039775A"/>
    <w:rsid w:val="003A02F7"/>
    <w:rsid w:val="003A12F4"/>
    <w:rsid w:val="003A18D8"/>
    <w:rsid w:val="003A1F54"/>
    <w:rsid w:val="003A273C"/>
    <w:rsid w:val="003A28E5"/>
    <w:rsid w:val="003A2AC5"/>
    <w:rsid w:val="003A3295"/>
    <w:rsid w:val="003A441F"/>
    <w:rsid w:val="003A482B"/>
    <w:rsid w:val="003A4E09"/>
    <w:rsid w:val="003A4EE1"/>
    <w:rsid w:val="003A50F8"/>
    <w:rsid w:val="003A51E6"/>
    <w:rsid w:val="003A55FA"/>
    <w:rsid w:val="003A5E80"/>
    <w:rsid w:val="003A6F5C"/>
    <w:rsid w:val="003A73E5"/>
    <w:rsid w:val="003A754A"/>
    <w:rsid w:val="003A7ACF"/>
    <w:rsid w:val="003A7C79"/>
    <w:rsid w:val="003B0E00"/>
    <w:rsid w:val="003B1CF3"/>
    <w:rsid w:val="003B1EC5"/>
    <w:rsid w:val="003B22EA"/>
    <w:rsid w:val="003B2CDD"/>
    <w:rsid w:val="003B3346"/>
    <w:rsid w:val="003B37EC"/>
    <w:rsid w:val="003B3F8A"/>
    <w:rsid w:val="003B4545"/>
    <w:rsid w:val="003B4CB1"/>
    <w:rsid w:val="003B5643"/>
    <w:rsid w:val="003B5A25"/>
    <w:rsid w:val="003B62EE"/>
    <w:rsid w:val="003B7263"/>
    <w:rsid w:val="003B73E9"/>
    <w:rsid w:val="003B7524"/>
    <w:rsid w:val="003B7911"/>
    <w:rsid w:val="003B7CF7"/>
    <w:rsid w:val="003C1042"/>
    <w:rsid w:val="003C131E"/>
    <w:rsid w:val="003C1B37"/>
    <w:rsid w:val="003C2E98"/>
    <w:rsid w:val="003C692D"/>
    <w:rsid w:val="003C7549"/>
    <w:rsid w:val="003C79B5"/>
    <w:rsid w:val="003C7AD7"/>
    <w:rsid w:val="003D07C2"/>
    <w:rsid w:val="003D0899"/>
    <w:rsid w:val="003D0A6C"/>
    <w:rsid w:val="003D0FB2"/>
    <w:rsid w:val="003D17F3"/>
    <w:rsid w:val="003D1B87"/>
    <w:rsid w:val="003D2233"/>
    <w:rsid w:val="003D36DA"/>
    <w:rsid w:val="003D3915"/>
    <w:rsid w:val="003D3AB9"/>
    <w:rsid w:val="003D3F70"/>
    <w:rsid w:val="003D466C"/>
    <w:rsid w:val="003D4D5E"/>
    <w:rsid w:val="003D4DDF"/>
    <w:rsid w:val="003D54F9"/>
    <w:rsid w:val="003D742B"/>
    <w:rsid w:val="003D75AD"/>
    <w:rsid w:val="003D76A0"/>
    <w:rsid w:val="003D7AD6"/>
    <w:rsid w:val="003D7EED"/>
    <w:rsid w:val="003E0250"/>
    <w:rsid w:val="003E0555"/>
    <w:rsid w:val="003E0E54"/>
    <w:rsid w:val="003E1F57"/>
    <w:rsid w:val="003E293C"/>
    <w:rsid w:val="003E308F"/>
    <w:rsid w:val="003E3A08"/>
    <w:rsid w:val="003E3A6E"/>
    <w:rsid w:val="003E4255"/>
    <w:rsid w:val="003E477E"/>
    <w:rsid w:val="003E49FC"/>
    <w:rsid w:val="003E541F"/>
    <w:rsid w:val="003E5628"/>
    <w:rsid w:val="003E610D"/>
    <w:rsid w:val="003E6565"/>
    <w:rsid w:val="003E6C97"/>
    <w:rsid w:val="003E6EC8"/>
    <w:rsid w:val="003E753E"/>
    <w:rsid w:val="003F0085"/>
    <w:rsid w:val="003F06CD"/>
    <w:rsid w:val="003F06F5"/>
    <w:rsid w:val="003F1E7F"/>
    <w:rsid w:val="003F25CD"/>
    <w:rsid w:val="003F271E"/>
    <w:rsid w:val="003F2E3C"/>
    <w:rsid w:val="003F315C"/>
    <w:rsid w:val="003F3BA8"/>
    <w:rsid w:val="003F44CF"/>
    <w:rsid w:val="003F4AAF"/>
    <w:rsid w:val="003F54A6"/>
    <w:rsid w:val="003F6E8B"/>
    <w:rsid w:val="003F77BC"/>
    <w:rsid w:val="004009CC"/>
    <w:rsid w:val="00400F46"/>
    <w:rsid w:val="0040199E"/>
    <w:rsid w:val="0040274D"/>
    <w:rsid w:val="00403AAF"/>
    <w:rsid w:val="0040448F"/>
    <w:rsid w:val="00404B94"/>
    <w:rsid w:val="0040522C"/>
    <w:rsid w:val="004053B5"/>
    <w:rsid w:val="00405872"/>
    <w:rsid w:val="004062E4"/>
    <w:rsid w:val="00406644"/>
    <w:rsid w:val="0040683F"/>
    <w:rsid w:val="0041005E"/>
    <w:rsid w:val="0041094E"/>
    <w:rsid w:val="004122B6"/>
    <w:rsid w:val="0041258E"/>
    <w:rsid w:val="004127BF"/>
    <w:rsid w:val="004133F9"/>
    <w:rsid w:val="00413998"/>
    <w:rsid w:val="00413C1C"/>
    <w:rsid w:val="004151DA"/>
    <w:rsid w:val="0041556C"/>
    <w:rsid w:val="004159BC"/>
    <w:rsid w:val="00415B09"/>
    <w:rsid w:val="004163DA"/>
    <w:rsid w:val="004168E7"/>
    <w:rsid w:val="004169B9"/>
    <w:rsid w:val="0041769F"/>
    <w:rsid w:val="0042151E"/>
    <w:rsid w:val="0042159A"/>
    <w:rsid w:val="0042255A"/>
    <w:rsid w:val="00422A86"/>
    <w:rsid w:val="00422AF6"/>
    <w:rsid w:val="00422F8E"/>
    <w:rsid w:val="00423751"/>
    <w:rsid w:val="00423B46"/>
    <w:rsid w:val="004257D2"/>
    <w:rsid w:val="00426C6E"/>
    <w:rsid w:val="00426E86"/>
    <w:rsid w:val="004278D3"/>
    <w:rsid w:val="00430C99"/>
    <w:rsid w:val="00430FA3"/>
    <w:rsid w:val="00431236"/>
    <w:rsid w:val="004317F6"/>
    <w:rsid w:val="004318AF"/>
    <w:rsid w:val="004331A3"/>
    <w:rsid w:val="00433370"/>
    <w:rsid w:val="00433846"/>
    <w:rsid w:val="004346C0"/>
    <w:rsid w:val="00435296"/>
    <w:rsid w:val="0043579F"/>
    <w:rsid w:val="004357AE"/>
    <w:rsid w:val="00435D31"/>
    <w:rsid w:val="00436BD1"/>
    <w:rsid w:val="004372AD"/>
    <w:rsid w:val="00437B11"/>
    <w:rsid w:val="00440034"/>
    <w:rsid w:val="00440DEB"/>
    <w:rsid w:val="00441D46"/>
    <w:rsid w:val="00443A21"/>
    <w:rsid w:val="00443EB5"/>
    <w:rsid w:val="004446E3"/>
    <w:rsid w:val="00444F1E"/>
    <w:rsid w:val="00445D49"/>
    <w:rsid w:val="00446760"/>
    <w:rsid w:val="00446A71"/>
    <w:rsid w:val="00446C84"/>
    <w:rsid w:val="00447CEC"/>
    <w:rsid w:val="00447F69"/>
    <w:rsid w:val="00450A80"/>
    <w:rsid w:val="00451158"/>
    <w:rsid w:val="00452613"/>
    <w:rsid w:val="00452949"/>
    <w:rsid w:val="00452E56"/>
    <w:rsid w:val="00453732"/>
    <w:rsid w:val="004538CF"/>
    <w:rsid w:val="00453E1C"/>
    <w:rsid w:val="0045405D"/>
    <w:rsid w:val="00454705"/>
    <w:rsid w:val="004564C4"/>
    <w:rsid w:val="0045694D"/>
    <w:rsid w:val="00456BC6"/>
    <w:rsid w:val="00460126"/>
    <w:rsid w:val="004602B1"/>
    <w:rsid w:val="00461050"/>
    <w:rsid w:val="00461866"/>
    <w:rsid w:val="004645FF"/>
    <w:rsid w:val="00464EA4"/>
    <w:rsid w:val="00465608"/>
    <w:rsid w:val="00466650"/>
    <w:rsid w:val="00467062"/>
    <w:rsid w:val="00467243"/>
    <w:rsid w:val="00467AEC"/>
    <w:rsid w:val="00467D7A"/>
    <w:rsid w:val="004708EC"/>
    <w:rsid w:val="004709F1"/>
    <w:rsid w:val="00471206"/>
    <w:rsid w:val="00471245"/>
    <w:rsid w:val="00471632"/>
    <w:rsid w:val="004739B1"/>
    <w:rsid w:val="00475176"/>
    <w:rsid w:val="0047548E"/>
    <w:rsid w:val="00475C04"/>
    <w:rsid w:val="00475C17"/>
    <w:rsid w:val="00475FBC"/>
    <w:rsid w:val="004761B5"/>
    <w:rsid w:val="004762DE"/>
    <w:rsid w:val="00476B4A"/>
    <w:rsid w:val="00477587"/>
    <w:rsid w:val="0048016E"/>
    <w:rsid w:val="004803EE"/>
    <w:rsid w:val="00481F73"/>
    <w:rsid w:val="00482026"/>
    <w:rsid w:val="00482123"/>
    <w:rsid w:val="00482562"/>
    <w:rsid w:val="00482721"/>
    <w:rsid w:val="00482761"/>
    <w:rsid w:val="00482D3E"/>
    <w:rsid w:val="004831E4"/>
    <w:rsid w:val="00483B8C"/>
    <w:rsid w:val="00483D76"/>
    <w:rsid w:val="0048408A"/>
    <w:rsid w:val="0048486C"/>
    <w:rsid w:val="00484FD0"/>
    <w:rsid w:val="0048518A"/>
    <w:rsid w:val="00485346"/>
    <w:rsid w:val="00486325"/>
    <w:rsid w:val="00486C3E"/>
    <w:rsid w:val="00487D20"/>
    <w:rsid w:val="00487F6A"/>
    <w:rsid w:val="0049062B"/>
    <w:rsid w:val="0049181A"/>
    <w:rsid w:val="0049195C"/>
    <w:rsid w:val="004925CA"/>
    <w:rsid w:val="0049272A"/>
    <w:rsid w:val="00493018"/>
    <w:rsid w:val="00493611"/>
    <w:rsid w:val="00493AAC"/>
    <w:rsid w:val="00496680"/>
    <w:rsid w:val="00497526"/>
    <w:rsid w:val="00497A33"/>
    <w:rsid w:val="004A0347"/>
    <w:rsid w:val="004A09EB"/>
    <w:rsid w:val="004A0CAF"/>
    <w:rsid w:val="004A1274"/>
    <w:rsid w:val="004A2A82"/>
    <w:rsid w:val="004A3F00"/>
    <w:rsid w:val="004A4828"/>
    <w:rsid w:val="004A4D5D"/>
    <w:rsid w:val="004A4DA8"/>
    <w:rsid w:val="004A4EBE"/>
    <w:rsid w:val="004A5672"/>
    <w:rsid w:val="004A58D5"/>
    <w:rsid w:val="004A5C59"/>
    <w:rsid w:val="004A5D7A"/>
    <w:rsid w:val="004A7008"/>
    <w:rsid w:val="004A78C2"/>
    <w:rsid w:val="004A7ED8"/>
    <w:rsid w:val="004A7F3B"/>
    <w:rsid w:val="004B15A4"/>
    <w:rsid w:val="004B1607"/>
    <w:rsid w:val="004B1B70"/>
    <w:rsid w:val="004B258A"/>
    <w:rsid w:val="004B2901"/>
    <w:rsid w:val="004B36FD"/>
    <w:rsid w:val="004B3BBF"/>
    <w:rsid w:val="004B3E31"/>
    <w:rsid w:val="004B43E8"/>
    <w:rsid w:val="004B4932"/>
    <w:rsid w:val="004B4FA1"/>
    <w:rsid w:val="004B530E"/>
    <w:rsid w:val="004B562F"/>
    <w:rsid w:val="004B5D4F"/>
    <w:rsid w:val="004B6094"/>
    <w:rsid w:val="004B6539"/>
    <w:rsid w:val="004B6BFE"/>
    <w:rsid w:val="004B6D50"/>
    <w:rsid w:val="004B7432"/>
    <w:rsid w:val="004B7C3E"/>
    <w:rsid w:val="004C00CC"/>
    <w:rsid w:val="004C03AF"/>
    <w:rsid w:val="004C0633"/>
    <w:rsid w:val="004C1256"/>
    <w:rsid w:val="004C25F3"/>
    <w:rsid w:val="004C28D8"/>
    <w:rsid w:val="004C2B95"/>
    <w:rsid w:val="004C316A"/>
    <w:rsid w:val="004C39E5"/>
    <w:rsid w:val="004C4758"/>
    <w:rsid w:val="004C4D4F"/>
    <w:rsid w:val="004C500F"/>
    <w:rsid w:val="004C513D"/>
    <w:rsid w:val="004C5707"/>
    <w:rsid w:val="004C588F"/>
    <w:rsid w:val="004C60C5"/>
    <w:rsid w:val="004C6ED7"/>
    <w:rsid w:val="004C753D"/>
    <w:rsid w:val="004C7CB3"/>
    <w:rsid w:val="004D0130"/>
    <w:rsid w:val="004D0156"/>
    <w:rsid w:val="004D0891"/>
    <w:rsid w:val="004D0AA7"/>
    <w:rsid w:val="004D176E"/>
    <w:rsid w:val="004D1C1A"/>
    <w:rsid w:val="004D49D7"/>
    <w:rsid w:val="004D5A55"/>
    <w:rsid w:val="004D61B9"/>
    <w:rsid w:val="004D720F"/>
    <w:rsid w:val="004D7832"/>
    <w:rsid w:val="004D7BAF"/>
    <w:rsid w:val="004E26E8"/>
    <w:rsid w:val="004E3282"/>
    <w:rsid w:val="004E34D8"/>
    <w:rsid w:val="004E4A52"/>
    <w:rsid w:val="004E501B"/>
    <w:rsid w:val="004E5CAF"/>
    <w:rsid w:val="004E5CC6"/>
    <w:rsid w:val="004E5E86"/>
    <w:rsid w:val="004E63AB"/>
    <w:rsid w:val="004E690F"/>
    <w:rsid w:val="004E6D8F"/>
    <w:rsid w:val="004E6ECD"/>
    <w:rsid w:val="004E77DE"/>
    <w:rsid w:val="004E7B24"/>
    <w:rsid w:val="004F01F6"/>
    <w:rsid w:val="004F0498"/>
    <w:rsid w:val="004F15D6"/>
    <w:rsid w:val="004F2338"/>
    <w:rsid w:val="004F299E"/>
    <w:rsid w:val="004F2E13"/>
    <w:rsid w:val="004F38C4"/>
    <w:rsid w:val="004F3BB3"/>
    <w:rsid w:val="004F48A2"/>
    <w:rsid w:val="004F48A7"/>
    <w:rsid w:val="004F5482"/>
    <w:rsid w:val="004F61E7"/>
    <w:rsid w:val="004F6A02"/>
    <w:rsid w:val="004F7BE0"/>
    <w:rsid w:val="004F7DAF"/>
    <w:rsid w:val="0050017D"/>
    <w:rsid w:val="005003E5"/>
    <w:rsid w:val="005019E8"/>
    <w:rsid w:val="00501BB5"/>
    <w:rsid w:val="00501EB2"/>
    <w:rsid w:val="005021FA"/>
    <w:rsid w:val="00502449"/>
    <w:rsid w:val="005028C9"/>
    <w:rsid w:val="00503575"/>
    <w:rsid w:val="0050399B"/>
    <w:rsid w:val="0050455D"/>
    <w:rsid w:val="00504B5F"/>
    <w:rsid w:val="0050563C"/>
    <w:rsid w:val="005059F1"/>
    <w:rsid w:val="0050659C"/>
    <w:rsid w:val="0050664F"/>
    <w:rsid w:val="00506FBB"/>
    <w:rsid w:val="0050701B"/>
    <w:rsid w:val="005074B0"/>
    <w:rsid w:val="00507797"/>
    <w:rsid w:val="00507BC9"/>
    <w:rsid w:val="00507E16"/>
    <w:rsid w:val="00510A7D"/>
    <w:rsid w:val="00511960"/>
    <w:rsid w:val="005119A0"/>
    <w:rsid w:val="00512BA5"/>
    <w:rsid w:val="00513499"/>
    <w:rsid w:val="00513DA6"/>
    <w:rsid w:val="005159A5"/>
    <w:rsid w:val="00516688"/>
    <w:rsid w:val="00516C21"/>
    <w:rsid w:val="00516C23"/>
    <w:rsid w:val="0052025B"/>
    <w:rsid w:val="005205CB"/>
    <w:rsid w:val="00520DFD"/>
    <w:rsid w:val="00521946"/>
    <w:rsid w:val="00521B92"/>
    <w:rsid w:val="00521FC5"/>
    <w:rsid w:val="00522EA8"/>
    <w:rsid w:val="005237DD"/>
    <w:rsid w:val="005238B8"/>
    <w:rsid w:val="00523BBE"/>
    <w:rsid w:val="00524ABA"/>
    <w:rsid w:val="005250F9"/>
    <w:rsid w:val="00525AB5"/>
    <w:rsid w:val="00525B4A"/>
    <w:rsid w:val="00525F3B"/>
    <w:rsid w:val="005262CD"/>
    <w:rsid w:val="00526346"/>
    <w:rsid w:val="0052772A"/>
    <w:rsid w:val="0052779C"/>
    <w:rsid w:val="00527F06"/>
    <w:rsid w:val="005309AE"/>
    <w:rsid w:val="00530BA9"/>
    <w:rsid w:val="00530DD9"/>
    <w:rsid w:val="005310E1"/>
    <w:rsid w:val="005317F1"/>
    <w:rsid w:val="00531D01"/>
    <w:rsid w:val="00533919"/>
    <w:rsid w:val="005342D6"/>
    <w:rsid w:val="005348AB"/>
    <w:rsid w:val="00535155"/>
    <w:rsid w:val="0053608C"/>
    <w:rsid w:val="00537042"/>
    <w:rsid w:val="00537B7F"/>
    <w:rsid w:val="00541130"/>
    <w:rsid w:val="00541464"/>
    <w:rsid w:val="00542FE5"/>
    <w:rsid w:val="00543889"/>
    <w:rsid w:val="0054394E"/>
    <w:rsid w:val="00543A2B"/>
    <w:rsid w:val="00543BAF"/>
    <w:rsid w:val="00544506"/>
    <w:rsid w:val="005446A9"/>
    <w:rsid w:val="005449C5"/>
    <w:rsid w:val="00544D11"/>
    <w:rsid w:val="00545129"/>
    <w:rsid w:val="00546475"/>
    <w:rsid w:val="0054648B"/>
    <w:rsid w:val="00547606"/>
    <w:rsid w:val="005477EA"/>
    <w:rsid w:val="005500C2"/>
    <w:rsid w:val="0055040B"/>
    <w:rsid w:val="0055109C"/>
    <w:rsid w:val="00551482"/>
    <w:rsid w:val="00551B33"/>
    <w:rsid w:val="00551B36"/>
    <w:rsid w:val="005535A9"/>
    <w:rsid w:val="0055401E"/>
    <w:rsid w:val="005567CD"/>
    <w:rsid w:val="005569FE"/>
    <w:rsid w:val="00557DA7"/>
    <w:rsid w:val="00560EA2"/>
    <w:rsid w:val="005615CA"/>
    <w:rsid w:val="00561966"/>
    <w:rsid w:val="00561FCA"/>
    <w:rsid w:val="005625CC"/>
    <w:rsid w:val="00562EFD"/>
    <w:rsid w:val="00563140"/>
    <w:rsid w:val="005633A7"/>
    <w:rsid w:val="00563D4E"/>
    <w:rsid w:val="00564DA6"/>
    <w:rsid w:val="005654FC"/>
    <w:rsid w:val="00565863"/>
    <w:rsid w:val="00566781"/>
    <w:rsid w:val="005672AF"/>
    <w:rsid w:val="00570536"/>
    <w:rsid w:val="005706C8"/>
    <w:rsid w:val="00570E08"/>
    <w:rsid w:val="00571814"/>
    <w:rsid w:val="00571DAC"/>
    <w:rsid w:val="00572B19"/>
    <w:rsid w:val="00572B47"/>
    <w:rsid w:val="00573618"/>
    <w:rsid w:val="00575354"/>
    <w:rsid w:val="005770AB"/>
    <w:rsid w:val="00577FD6"/>
    <w:rsid w:val="00580B0B"/>
    <w:rsid w:val="00581185"/>
    <w:rsid w:val="00581A13"/>
    <w:rsid w:val="005823F1"/>
    <w:rsid w:val="005835E7"/>
    <w:rsid w:val="005836F9"/>
    <w:rsid w:val="005837B6"/>
    <w:rsid w:val="0058505E"/>
    <w:rsid w:val="00585737"/>
    <w:rsid w:val="00585935"/>
    <w:rsid w:val="00585E17"/>
    <w:rsid w:val="005862D4"/>
    <w:rsid w:val="005871A1"/>
    <w:rsid w:val="0058726E"/>
    <w:rsid w:val="00587CC1"/>
    <w:rsid w:val="00587CF2"/>
    <w:rsid w:val="00587EFD"/>
    <w:rsid w:val="00590791"/>
    <w:rsid w:val="00590A70"/>
    <w:rsid w:val="00590AA6"/>
    <w:rsid w:val="0059133D"/>
    <w:rsid w:val="0059178A"/>
    <w:rsid w:val="00591E89"/>
    <w:rsid w:val="00592060"/>
    <w:rsid w:val="005925A7"/>
    <w:rsid w:val="00593A27"/>
    <w:rsid w:val="00594714"/>
    <w:rsid w:val="005948EE"/>
    <w:rsid w:val="00594BFD"/>
    <w:rsid w:val="00594C03"/>
    <w:rsid w:val="00594DAE"/>
    <w:rsid w:val="0059639F"/>
    <w:rsid w:val="005A027E"/>
    <w:rsid w:val="005A0414"/>
    <w:rsid w:val="005A1672"/>
    <w:rsid w:val="005A3036"/>
    <w:rsid w:val="005A3188"/>
    <w:rsid w:val="005A3DF2"/>
    <w:rsid w:val="005A53CC"/>
    <w:rsid w:val="005A6285"/>
    <w:rsid w:val="005A680D"/>
    <w:rsid w:val="005A760D"/>
    <w:rsid w:val="005B00B4"/>
    <w:rsid w:val="005B05FA"/>
    <w:rsid w:val="005B15F7"/>
    <w:rsid w:val="005B1CC0"/>
    <w:rsid w:val="005B23CB"/>
    <w:rsid w:val="005B2515"/>
    <w:rsid w:val="005B2874"/>
    <w:rsid w:val="005B299A"/>
    <w:rsid w:val="005B2B72"/>
    <w:rsid w:val="005B31E5"/>
    <w:rsid w:val="005B3725"/>
    <w:rsid w:val="005B3EC1"/>
    <w:rsid w:val="005B4209"/>
    <w:rsid w:val="005B4DAA"/>
    <w:rsid w:val="005B5030"/>
    <w:rsid w:val="005B5B50"/>
    <w:rsid w:val="005B7F30"/>
    <w:rsid w:val="005C039A"/>
    <w:rsid w:val="005C0F32"/>
    <w:rsid w:val="005C1844"/>
    <w:rsid w:val="005C1FAF"/>
    <w:rsid w:val="005C215A"/>
    <w:rsid w:val="005C2FAE"/>
    <w:rsid w:val="005C3274"/>
    <w:rsid w:val="005C3A0D"/>
    <w:rsid w:val="005C3C7F"/>
    <w:rsid w:val="005C40CE"/>
    <w:rsid w:val="005C47D0"/>
    <w:rsid w:val="005C524E"/>
    <w:rsid w:val="005C5719"/>
    <w:rsid w:val="005C59A7"/>
    <w:rsid w:val="005C641B"/>
    <w:rsid w:val="005C678B"/>
    <w:rsid w:val="005C6C40"/>
    <w:rsid w:val="005C6D4A"/>
    <w:rsid w:val="005C6F20"/>
    <w:rsid w:val="005C78C3"/>
    <w:rsid w:val="005C7B89"/>
    <w:rsid w:val="005D03D0"/>
    <w:rsid w:val="005D0FF4"/>
    <w:rsid w:val="005D2097"/>
    <w:rsid w:val="005D22A6"/>
    <w:rsid w:val="005D2AC3"/>
    <w:rsid w:val="005D31C0"/>
    <w:rsid w:val="005D3D67"/>
    <w:rsid w:val="005D4937"/>
    <w:rsid w:val="005D4D54"/>
    <w:rsid w:val="005D4F77"/>
    <w:rsid w:val="005D525D"/>
    <w:rsid w:val="005D55ED"/>
    <w:rsid w:val="005D5BFF"/>
    <w:rsid w:val="005D65BB"/>
    <w:rsid w:val="005D7A20"/>
    <w:rsid w:val="005E01D1"/>
    <w:rsid w:val="005E1BD4"/>
    <w:rsid w:val="005E1D88"/>
    <w:rsid w:val="005E2401"/>
    <w:rsid w:val="005E439A"/>
    <w:rsid w:val="005E4468"/>
    <w:rsid w:val="005E46EF"/>
    <w:rsid w:val="005E4D5A"/>
    <w:rsid w:val="005E55AC"/>
    <w:rsid w:val="005E5F8E"/>
    <w:rsid w:val="005E7E8B"/>
    <w:rsid w:val="005E7F92"/>
    <w:rsid w:val="005F00A1"/>
    <w:rsid w:val="005F06CB"/>
    <w:rsid w:val="005F0E70"/>
    <w:rsid w:val="005F1AB4"/>
    <w:rsid w:val="005F2D69"/>
    <w:rsid w:val="005F2DF3"/>
    <w:rsid w:val="005F34E0"/>
    <w:rsid w:val="005F35ED"/>
    <w:rsid w:val="005F4105"/>
    <w:rsid w:val="005F4B76"/>
    <w:rsid w:val="005F5121"/>
    <w:rsid w:val="005F53F9"/>
    <w:rsid w:val="005F6728"/>
    <w:rsid w:val="005F6868"/>
    <w:rsid w:val="005F6E5C"/>
    <w:rsid w:val="005F7F1A"/>
    <w:rsid w:val="006000A8"/>
    <w:rsid w:val="00600702"/>
    <w:rsid w:val="006012F7"/>
    <w:rsid w:val="00602A65"/>
    <w:rsid w:val="0060445B"/>
    <w:rsid w:val="00604BB9"/>
    <w:rsid w:val="00605220"/>
    <w:rsid w:val="00605B02"/>
    <w:rsid w:val="00605D59"/>
    <w:rsid w:val="00605F95"/>
    <w:rsid w:val="00606756"/>
    <w:rsid w:val="00606A79"/>
    <w:rsid w:val="006109EC"/>
    <w:rsid w:val="0061157C"/>
    <w:rsid w:val="00611770"/>
    <w:rsid w:val="006118EE"/>
    <w:rsid w:val="00611996"/>
    <w:rsid w:val="006126DC"/>
    <w:rsid w:val="006136F0"/>
    <w:rsid w:val="00613F90"/>
    <w:rsid w:val="00613FB6"/>
    <w:rsid w:val="006140C3"/>
    <w:rsid w:val="006148EB"/>
    <w:rsid w:val="00615298"/>
    <w:rsid w:val="006154DD"/>
    <w:rsid w:val="00615F27"/>
    <w:rsid w:val="00615F2E"/>
    <w:rsid w:val="006162B0"/>
    <w:rsid w:val="00616AE4"/>
    <w:rsid w:val="006171FF"/>
    <w:rsid w:val="00620395"/>
    <w:rsid w:val="0062102A"/>
    <w:rsid w:val="00621A77"/>
    <w:rsid w:val="00621B12"/>
    <w:rsid w:val="0062249C"/>
    <w:rsid w:val="00622DF6"/>
    <w:rsid w:val="00622F9F"/>
    <w:rsid w:val="00623591"/>
    <w:rsid w:val="0062414A"/>
    <w:rsid w:val="00625100"/>
    <w:rsid w:val="00625CDC"/>
    <w:rsid w:val="0062654C"/>
    <w:rsid w:val="00627544"/>
    <w:rsid w:val="00631A18"/>
    <w:rsid w:val="006325E2"/>
    <w:rsid w:val="0063300D"/>
    <w:rsid w:val="00634042"/>
    <w:rsid w:val="00634447"/>
    <w:rsid w:val="006346C9"/>
    <w:rsid w:val="00634A62"/>
    <w:rsid w:val="00634CE8"/>
    <w:rsid w:val="00635390"/>
    <w:rsid w:val="00636653"/>
    <w:rsid w:val="00636B71"/>
    <w:rsid w:val="00637010"/>
    <w:rsid w:val="006378B7"/>
    <w:rsid w:val="00640322"/>
    <w:rsid w:val="00640D4B"/>
    <w:rsid w:val="0064113B"/>
    <w:rsid w:val="0064170C"/>
    <w:rsid w:val="0064186A"/>
    <w:rsid w:val="006441D1"/>
    <w:rsid w:val="0064591A"/>
    <w:rsid w:val="00646709"/>
    <w:rsid w:val="00646E20"/>
    <w:rsid w:val="00647845"/>
    <w:rsid w:val="00647975"/>
    <w:rsid w:val="00647C29"/>
    <w:rsid w:val="0065005D"/>
    <w:rsid w:val="006500AB"/>
    <w:rsid w:val="00650793"/>
    <w:rsid w:val="006523CF"/>
    <w:rsid w:val="00652B2C"/>
    <w:rsid w:val="00653634"/>
    <w:rsid w:val="006537AE"/>
    <w:rsid w:val="00653B38"/>
    <w:rsid w:val="00653F72"/>
    <w:rsid w:val="006547BC"/>
    <w:rsid w:val="00654FBD"/>
    <w:rsid w:val="006557CE"/>
    <w:rsid w:val="0065721E"/>
    <w:rsid w:val="00657C22"/>
    <w:rsid w:val="006602C0"/>
    <w:rsid w:val="00661837"/>
    <w:rsid w:val="00661A4A"/>
    <w:rsid w:val="00661E18"/>
    <w:rsid w:val="00662FFB"/>
    <w:rsid w:val="00664065"/>
    <w:rsid w:val="006641C2"/>
    <w:rsid w:val="00664D44"/>
    <w:rsid w:val="006659EA"/>
    <w:rsid w:val="00665DA9"/>
    <w:rsid w:val="00666367"/>
    <w:rsid w:val="00667484"/>
    <w:rsid w:val="00667912"/>
    <w:rsid w:val="00667CB5"/>
    <w:rsid w:val="00670251"/>
    <w:rsid w:val="00670B72"/>
    <w:rsid w:val="00670E04"/>
    <w:rsid w:val="006716A3"/>
    <w:rsid w:val="00671FDA"/>
    <w:rsid w:val="00673200"/>
    <w:rsid w:val="00673477"/>
    <w:rsid w:val="00673881"/>
    <w:rsid w:val="00674369"/>
    <w:rsid w:val="00674752"/>
    <w:rsid w:val="00676432"/>
    <w:rsid w:val="00676B28"/>
    <w:rsid w:val="006815B9"/>
    <w:rsid w:val="00683A6F"/>
    <w:rsid w:val="00683B39"/>
    <w:rsid w:val="00684034"/>
    <w:rsid w:val="00684BAE"/>
    <w:rsid w:val="00685553"/>
    <w:rsid w:val="006869D5"/>
    <w:rsid w:val="00687511"/>
    <w:rsid w:val="0069011B"/>
    <w:rsid w:val="00690693"/>
    <w:rsid w:val="00690C5C"/>
    <w:rsid w:val="00691AEC"/>
    <w:rsid w:val="0069391B"/>
    <w:rsid w:val="00693E98"/>
    <w:rsid w:val="006948FF"/>
    <w:rsid w:val="00697180"/>
    <w:rsid w:val="006978CE"/>
    <w:rsid w:val="006A0DCD"/>
    <w:rsid w:val="006A17F4"/>
    <w:rsid w:val="006A183C"/>
    <w:rsid w:val="006A2254"/>
    <w:rsid w:val="006A2D3C"/>
    <w:rsid w:val="006A2F8B"/>
    <w:rsid w:val="006A3388"/>
    <w:rsid w:val="006A4D5C"/>
    <w:rsid w:val="006A4E98"/>
    <w:rsid w:val="006A5D2F"/>
    <w:rsid w:val="006A5ED2"/>
    <w:rsid w:val="006A7894"/>
    <w:rsid w:val="006B0057"/>
    <w:rsid w:val="006B0312"/>
    <w:rsid w:val="006B123A"/>
    <w:rsid w:val="006B1BE1"/>
    <w:rsid w:val="006B3556"/>
    <w:rsid w:val="006B3CA1"/>
    <w:rsid w:val="006B4718"/>
    <w:rsid w:val="006B4BD1"/>
    <w:rsid w:val="006B5A8C"/>
    <w:rsid w:val="006B705B"/>
    <w:rsid w:val="006C0224"/>
    <w:rsid w:val="006C32A3"/>
    <w:rsid w:val="006C32E2"/>
    <w:rsid w:val="006C38E7"/>
    <w:rsid w:val="006C3BC9"/>
    <w:rsid w:val="006C3F98"/>
    <w:rsid w:val="006C4355"/>
    <w:rsid w:val="006C4435"/>
    <w:rsid w:val="006C472A"/>
    <w:rsid w:val="006C4D4E"/>
    <w:rsid w:val="006C5060"/>
    <w:rsid w:val="006C522F"/>
    <w:rsid w:val="006C534D"/>
    <w:rsid w:val="006C5670"/>
    <w:rsid w:val="006C63CD"/>
    <w:rsid w:val="006C6859"/>
    <w:rsid w:val="006C766C"/>
    <w:rsid w:val="006C7AB6"/>
    <w:rsid w:val="006D039A"/>
    <w:rsid w:val="006D1863"/>
    <w:rsid w:val="006D22DF"/>
    <w:rsid w:val="006D23DA"/>
    <w:rsid w:val="006D3AD0"/>
    <w:rsid w:val="006D3B73"/>
    <w:rsid w:val="006D3C40"/>
    <w:rsid w:val="006D41E5"/>
    <w:rsid w:val="006D4683"/>
    <w:rsid w:val="006D47D1"/>
    <w:rsid w:val="006D4FBA"/>
    <w:rsid w:val="006D6F2E"/>
    <w:rsid w:val="006D70D3"/>
    <w:rsid w:val="006D73F6"/>
    <w:rsid w:val="006D7F27"/>
    <w:rsid w:val="006E08E7"/>
    <w:rsid w:val="006E0FF0"/>
    <w:rsid w:val="006E1447"/>
    <w:rsid w:val="006E2E2A"/>
    <w:rsid w:val="006E31C4"/>
    <w:rsid w:val="006E49D0"/>
    <w:rsid w:val="006E554A"/>
    <w:rsid w:val="006E5D33"/>
    <w:rsid w:val="006E5FD8"/>
    <w:rsid w:val="006E6A9C"/>
    <w:rsid w:val="006F012D"/>
    <w:rsid w:val="006F048F"/>
    <w:rsid w:val="006F181E"/>
    <w:rsid w:val="006F25AE"/>
    <w:rsid w:val="006F35AB"/>
    <w:rsid w:val="006F4BB4"/>
    <w:rsid w:val="006F4EA0"/>
    <w:rsid w:val="006F5221"/>
    <w:rsid w:val="006F592C"/>
    <w:rsid w:val="006F5B49"/>
    <w:rsid w:val="006F6164"/>
    <w:rsid w:val="006F67C1"/>
    <w:rsid w:val="006F6AE9"/>
    <w:rsid w:val="006F76DE"/>
    <w:rsid w:val="007002F5"/>
    <w:rsid w:val="00701187"/>
    <w:rsid w:val="007023A4"/>
    <w:rsid w:val="00702870"/>
    <w:rsid w:val="00703182"/>
    <w:rsid w:val="00703C19"/>
    <w:rsid w:val="00703D95"/>
    <w:rsid w:val="00704037"/>
    <w:rsid w:val="00704535"/>
    <w:rsid w:val="0070564B"/>
    <w:rsid w:val="00707213"/>
    <w:rsid w:val="007108F9"/>
    <w:rsid w:val="0071116B"/>
    <w:rsid w:val="00711DD8"/>
    <w:rsid w:val="00712899"/>
    <w:rsid w:val="00712FC5"/>
    <w:rsid w:val="0071370D"/>
    <w:rsid w:val="00713D04"/>
    <w:rsid w:val="00714447"/>
    <w:rsid w:val="00715327"/>
    <w:rsid w:val="00715C5B"/>
    <w:rsid w:val="00715D1A"/>
    <w:rsid w:val="007176F3"/>
    <w:rsid w:val="00720E64"/>
    <w:rsid w:val="00721062"/>
    <w:rsid w:val="007213D4"/>
    <w:rsid w:val="00721C77"/>
    <w:rsid w:val="00722606"/>
    <w:rsid w:val="00722D02"/>
    <w:rsid w:val="007231CF"/>
    <w:rsid w:val="00723462"/>
    <w:rsid w:val="007234C0"/>
    <w:rsid w:val="00723EF2"/>
    <w:rsid w:val="00723F60"/>
    <w:rsid w:val="007247E8"/>
    <w:rsid w:val="00724DED"/>
    <w:rsid w:val="00724F32"/>
    <w:rsid w:val="00725016"/>
    <w:rsid w:val="007252AA"/>
    <w:rsid w:val="007260B6"/>
    <w:rsid w:val="00726473"/>
    <w:rsid w:val="0072653E"/>
    <w:rsid w:val="0072772C"/>
    <w:rsid w:val="00727C83"/>
    <w:rsid w:val="0073049D"/>
    <w:rsid w:val="00730D44"/>
    <w:rsid w:val="0073333B"/>
    <w:rsid w:val="00733D9D"/>
    <w:rsid w:val="007343E6"/>
    <w:rsid w:val="007351F1"/>
    <w:rsid w:val="0073541A"/>
    <w:rsid w:val="00735C1D"/>
    <w:rsid w:val="00737BA1"/>
    <w:rsid w:val="00737F91"/>
    <w:rsid w:val="00740AA4"/>
    <w:rsid w:val="00740B38"/>
    <w:rsid w:val="007422DF"/>
    <w:rsid w:val="00742707"/>
    <w:rsid w:val="007437A6"/>
    <w:rsid w:val="00743B09"/>
    <w:rsid w:val="007444A0"/>
    <w:rsid w:val="007449A0"/>
    <w:rsid w:val="0074561B"/>
    <w:rsid w:val="00745C38"/>
    <w:rsid w:val="00745DC8"/>
    <w:rsid w:val="00747620"/>
    <w:rsid w:val="007478E0"/>
    <w:rsid w:val="00747E78"/>
    <w:rsid w:val="0075171E"/>
    <w:rsid w:val="00751F27"/>
    <w:rsid w:val="00752F14"/>
    <w:rsid w:val="00753354"/>
    <w:rsid w:val="0075409A"/>
    <w:rsid w:val="0075615F"/>
    <w:rsid w:val="00756392"/>
    <w:rsid w:val="00757052"/>
    <w:rsid w:val="007606E9"/>
    <w:rsid w:val="00760DAD"/>
    <w:rsid w:val="00760EE8"/>
    <w:rsid w:val="00761CD9"/>
    <w:rsid w:val="00761D26"/>
    <w:rsid w:val="007622C8"/>
    <w:rsid w:val="00763422"/>
    <w:rsid w:val="0076353E"/>
    <w:rsid w:val="00763886"/>
    <w:rsid w:val="00764480"/>
    <w:rsid w:val="007644A0"/>
    <w:rsid w:val="007644E6"/>
    <w:rsid w:val="007648CF"/>
    <w:rsid w:val="007652AC"/>
    <w:rsid w:val="007656B2"/>
    <w:rsid w:val="0076609C"/>
    <w:rsid w:val="00766AAD"/>
    <w:rsid w:val="0076740F"/>
    <w:rsid w:val="00767FE1"/>
    <w:rsid w:val="00770B0F"/>
    <w:rsid w:val="00770B6E"/>
    <w:rsid w:val="00770EBE"/>
    <w:rsid w:val="00771F0B"/>
    <w:rsid w:val="0077214D"/>
    <w:rsid w:val="007724C1"/>
    <w:rsid w:val="00772583"/>
    <w:rsid w:val="0077303F"/>
    <w:rsid w:val="00773AEF"/>
    <w:rsid w:val="00773C1D"/>
    <w:rsid w:val="00774000"/>
    <w:rsid w:val="007741A9"/>
    <w:rsid w:val="00774340"/>
    <w:rsid w:val="00775D50"/>
    <w:rsid w:val="00776003"/>
    <w:rsid w:val="00776449"/>
    <w:rsid w:val="0077667B"/>
    <w:rsid w:val="00776C9C"/>
    <w:rsid w:val="0077703D"/>
    <w:rsid w:val="00777471"/>
    <w:rsid w:val="00777672"/>
    <w:rsid w:val="00777D62"/>
    <w:rsid w:val="00780C46"/>
    <w:rsid w:val="007813EC"/>
    <w:rsid w:val="007818C6"/>
    <w:rsid w:val="00782B9A"/>
    <w:rsid w:val="007838E0"/>
    <w:rsid w:val="00783EA6"/>
    <w:rsid w:val="0078463A"/>
    <w:rsid w:val="00784A43"/>
    <w:rsid w:val="00784E3C"/>
    <w:rsid w:val="00787304"/>
    <w:rsid w:val="00791288"/>
    <w:rsid w:val="0079164B"/>
    <w:rsid w:val="00792B96"/>
    <w:rsid w:val="00792EF8"/>
    <w:rsid w:val="007931C6"/>
    <w:rsid w:val="00793741"/>
    <w:rsid w:val="00794825"/>
    <w:rsid w:val="00794CBA"/>
    <w:rsid w:val="0079556B"/>
    <w:rsid w:val="007972ED"/>
    <w:rsid w:val="007977BF"/>
    <w:rsid w:val="00797C78"/>
    <w:rsid w:val="007A045E"/>
    <w:rsid w:val="007A179D"/>
    <w:rsid w:val="007A1C18"/>
    <w:rsid w:val="007A2DAF"/>
    <w:rsid w:val="007A2EAE"/>
    <w:rsid w:val="007A34FA"/>
    <w:rsid w:val="007A3F62"/>
    <w:rsid w:val="007A43CC"/>
    <w:rsid w:val="007A4766"/>
    <w:rsid w:val="007A4E21"/>
    <w:rsid w:val="007A4E3C"/>
    <w:rsid w:val="007A5C07"/>
    <w:rsid w:val="007A5F10"/>
    <w:rsid w:val="007A6D86"/>
    <w:rsid w:val="007A7B4B"/>
    <w:rsid w:val="007B0821"/>
    <w:rsid w:val="007B0E7C"/>
    <w:rsid w:val="007B13B1"/>
    <w:rsid w:val="007B16E0"/>
    <w:rsid w:val="007B176F"/>
    <w:rsid w:val="007B1BEE"/>
    <w:rsid w:val="007B2410"/>
    <w:rsid w:val="007B289B"/>
    <w:rsid w:val="007B290D"/>
    <w:rsid w:val="007B2FD7"/>
    <w:rsid w:val="007B382E"/>
    <w:rsid w:val="007B42F8"/>
    <w:rsid w:val="007B4A9D"/>
    <w:rsid w:val="007B4E20"/>
    <w:rsid w:val="007B51F8"/>
    <w:rsid w:val="007C04EC"/>
    <w:rsid w:val="007C3969"/>
    <w:rsid w:val="007C66ED"/>
    <w:rsid w:val="007C6E14"/>
    <w:rsid w:val="007C79C4"/>
    <w:rsid w:val="007C7E57"/>
    <w:rsid w:val="007D049B"/>
    <w:rsid w:val="007D104B"/>
    <w:rsid w:val="007D1275"/>
    <w:rsid w:val="007D25AD"/>
    <w:rsid w:val="007D2672"/>
    <w:rsid w:val="007D286E"/>
    <w:rsid w:val="007D2F2E"/>
    <w:rsid w:val="007D36A8"/>
    <w:rsid w:val="007D42A4"/>
    <w:rsid w:val="007D46B0"/>
    <w:rsid w:val="007D4E6B"/>
    <w:rsid w:val="007D6B49"/>
    <w:rsid w:val="007D7B93"/>
    <w:rsid w:val="007E0B96"/>
    <w:rsid w:val="007E1AEB"/>
    <w:rsid w:val="007E1BDB"/>
    <w:rsid w:val="007E29CF"/>
    <w:rsid w:val="007E2CCF"/>
    <w:rsid w:val="007E2D31"/>
    <w:rsid w:val="007E3C03"/>
    <w:rsid w:val="007E3F34"/>
    <w:rsid w:val="007E4931"/>
    <w:rsid w:val="007E4CB0"/>
    <w:rsid w:val="007E4D74"/>
    <w:rsid w:val="007E622A"/>
    <w:rsid w:val="007E62EA"/>
    <w:rsid w:val="007E644A"/>
    <w:rsid w:val="007E72D4"/>
    <w:rsid w:val="007E76CE"/>
    <w:rsid w:val="007E7771"/>
    <w:rsid w:val="007E7AE4"/>
    <w:rsid w:val="007E7AED"/>
    <w:rsid w:val="007E7BB0"/>
    <w:rsid w:val="007E7D1E"/>
    <w:rsid w:val="007F05B0"/>
    <w:rsid w:val="007F239B"/>
    <w:rsid w:val="007F258F"/>
    <w:rsid w:val="007F25BD"/>
    <w:rsid w:val="007F2658"/>
    <w:rsid w:val="007F3263"/>
    <w:rsid w:val="007F3FA8"/>
    <w:rsid w:val="007F4D15"/>
    <w:rsid w:val="007F4E7B"/>
    <w:rsid w:val="007F4F24"/>
    <w:rsid w:val="007F5A07"/>
    <w:rsid w:val="00800274"/>
    <w:rsid w:val="008009B3"/>
    <w:rsid w:val="00800FE5"/>
    <w:rsid w:val="008014F0"/>
    <w:rsid w:val="00801E9F"/>
    <w:rsid w:val="0080238B"/>
    <w:rsid w:val="0080263F"/>
    <w:rsid w:val="00802F11"/>
    <w:rsid w:val="00803882"/>
    <w:rsid w:val="00803AB5"/>
    <w:rsid w:val="0080423E"/>
    <w:rsid w:val="0080476B"/>
    <w:rsid w:val="008054F3"/>
    <w:rsid w:val="00805683"/>
    <w:rsid w:val="00806A20"/>
    <w:rsid w:val="00806E93"/>
    <w:rsid w:val="00806EEA"/>
    <w:rsid w:val="00806FA6"/>
    <w:rsid w:val="00807F68"/>
    <w:rsid w:val="00810F23"/>
    <w:rsid w:val="00811117"/>
    <w:rsid w:val="00811AF4"/>
    <w:rsid w:val="008121ED"/>
    <w:rsid w:val="00812763"/>
    <w:rsid w:val="00812B64"/>
    <w:rsid w:val="00812E3A"/>
    <w:rsid w:val="0081307E"/>
    <w:rsid w:val="0081479E"/>
    <w:rsid w:val="00814E76"/>
    <w:rsid w:val="00814FC4"/>
    <w:rsid w:val="008154FC"/>
    <w:rsid w:val="00816469"/>
    <w:rsid w:val="00816AED"/>
    <w:rsid w:val="0081749D"/>
    <w:rsid w:val="00820033"/>
    <w:rsid w:val="00820034"/>
    <w:rsid w:val="00820BA9"/>
    <w:rsid w:val="00820C70"/>
    <w:rsid w:val="00820CE3"/>
    <w:rsid w:val="008210CC"/>
    <w:rsid w:val="008211A0"/>
    <w:rsid w:val="00821BF2"/>
    <w:rsid w:val="00822450"/>
    <w:rsid w:val="008238C9"/>
    <w:rsid w:val="00824792"/>
    <w:rsid w:val="00824C2D"/>
    <w:rsid w:val="00824D83"/>
    <w:rsid w:val="008250F3"/>
    <w:rsid w:val="00825611"/>
    <w:rsid w:val="0082591B"/>
    <w:rsid w:val="00826027"/>
    <w:rsid w:val="008264ED"/>
    <w:rsid w:val="00826D6C"/>
    <w:rsid w:val="00826F67"/>
    <w:rsid w:val="00827251"/>
    <w:rsid w:val="00827867"/>
    <w:rsid w:val="008278F7"/>
    <w:rsid w:val="00827943"/>
    <w:rsid w:val="008301E0"/>
    <w:rsid w:val="008309A1"/>
    <w:rsid w:val="00830C5B"/>
    <w:rsid w:val="008313DF"/>
    <w:rsid w:val="00831A9A"/>
    <w:rsid w:val="00831C40"/>
    <w:rsid w:val="0083269E"/>
    <w:rsid w:val="00833078"/>
    <w:rsid w:val="00833699"/>
    <w:rsid w:val="00833A70"/>
    <w:rsid w:val="00833D52"/>
    <w:rsid w:val="00835EC3"/>
    <w:rsid w:val="008360D8"/>
    <w:rsid w:val="00836A95"/>
    <w:rsid w:val="008374C3"/>
    <w:rsid w:val="00837567"/>
    <w:rsid w:val="0083798F"/>
    <w:rsid w:val="00837B5F"/>
    <w:rsid w:val="008404A2"/>
    <w:rsid w:val="00840F86"/>
    <w:rsid w:val="0084162B"/>
    <w:rsid w:val="00841B05"/>
    <w:rsid w:val="008423E3"/>
    <w:rsid w:val="00842833"/>
    <w:rsid w:val="00843B04"/>
    <w:rsid w:val="0084560E"/>
    <w:rsid w:val="00845E7A"/>
    <w:rsid w:val="00845EB5"/>
    <w:rsid w:val="00846148"/>
    <w:rsid w:val="00846D47"/>
    <w:rsid w:val="00847D02"/>
    <w:rsid w:val="00850A9D"/>
    <w:rsid w:val="00850D68"/>
    <w:rsid w:val="008514C0"/>
    <w:rsid w:val="0085152B"/>
    <w:rsid w:val="00851945"/>
    <w:rsid w:val="00851DA8"/>
    <w:rsid w:val="00852D79"/>
    <w:rsid w:val="00852DE1"/>
    <w:rsid w:val="008536C7"/>
    <w:rsid w:val="00853751"/>
    <w:rsid w:val="0085453A"/>
    <w:rsid w:val="008555D6"/>
    <w:rsid w:val="00855ACB"/>
    <w:rsid w:val="0085693C"/>
    <w:rsid w:val="00857160"/>
    <w:rsid w:val="00857E4B"/>
    <w:rsid w:val="008607D0"/>
    <w:rsid w:val="00861F8D"/>
    <w:rsid w:val="00862966"/>
    <w:rsid w:val="00862A3C"/>
    <w:rsid w:val="008631FC"/>
    <w:rsid w:val="008637E6"/>
    <w:rsid w:val="00863F41"/>
    <w:rsid w:val="0086411E"/>
    <w:rsid w:val="0086475B"/>
    <w:rsid w:val="00864F9A"/>
    <w:rsid w:val="00865060"/>
    <w:rsid w:val="00865360"/>
    <w:rsid w:val="00865604"/>
    <w:rsid w:val="00865DAD"/>
    <w:rsid w:val="00866DDB"/>
    <w:rsid w:val="00866ED7"/>
    <w:rsid w:val="00867483"/>
    <w:rsid w:val="00870245"/>
    <w:rsid w:val="00870C91"/>
    <w:rsid w:val="00870D55"/>
    <w:rsid w:val="008713F7"/>
    <w:rsid w:val="0087157C"/>
    <w:rsid w:val="00871A2D"/>
    <w:rsid w:val="00871D78"/>
    <w:rsid w:val="008722C3"/>
    <w:rsid w:val="00872A49"/>
    <w:rsid w:val="008733D6"/>
    <w:rsid w:val="00874100"/>
    <w:rsid w:val="0087505F"/>
    <w:rsid w:val="008759B1"/>
    <w:rsid w:val="00875CE6"/>
    <w:rsid w:val="00875F60"/>
    <w:rsid w:val="008774B8"/>
    <w:rsid w:val="008803DA"/>
    <w:rsid w:val="008815A2"/>
    <w:rsid w:val="00881C66"/>
    <w:rsid w:val="00881FE0"/>
    <w:rsid w:val="008835EB"/>
    <w:rsid w:val="00883600"/>
    <w:rsid w:val="0088365D"/>
    <w:rsid w:val="00884A93"/>
    <w:rsid w:val="00884C2F"/>
    <w:rsid w:val="0088530C"/>
    <w:rsid w:val="00885419"/>
    <w:rsid w:val="00885464"/>
    <w:rsid w:val="008858F5"/>
    <w:rsid w:val="00886120"/>
    <w:rsid w:val="0088628B"/>
    <w:rsid w:val="00886548"/>
    <w:rsid w:val="0088792E"/>
    <w:rsid w:val="00887B92"/>
    <w:rsid w:val="008902DC"/>
    <w:rsid w:val="00891A64"/>
    <w:rsid w:val="00891C20"/>
    <w:rsid w:val="00892063"/>
    <w:rsid w:val="008929D2"/>
    <w:rsid w:val="008930C7"/>
    <w:rsid w:val="00893397"/>
    <w:rsid w:val="008934A5"/>
    <w:rsid w:val="0089428C"/>
    <w:rsid w:val="00894547"/>
    <w:rsid w:val="00894D2F"/>
    <w:rsid w:val="00894F81"/>
    <w:rsid w:val="00896C7B"/>
    <w:rsid w:val="008A040F"/>
    <w:rsid w:val="008A0FE5"/>
    <w:rsid w:val="008A1073"/>
    <w:rsid w:val="008A1318"/>
    <w:rsid w:val="008A154E"/>
    <w:rsid w:val="008A1D75"/>
    <w:rsid w:val="008A2039"/>
    <w:rsid w:val="008A24A0"/>
    <w:rsid w:val="008A299B"/>
    <w:rsid w:val="008A3515"/>
    <w:rsid w:val="008A54E2"/>
    <w:rsid w:val="008A786E"/>
    <w:rsid w:val="008B081D"/>
    <w:rsid w:val="008B0AC5"/>
    <w:rsid w:val="008B0B44"/>
    <w:rsid w:val="008B0B59"/>
    <w:rsid w:val="008B1722"/>
    <w:rsid w:val="008B2243"/>
    <w:rsid w:val="008B255B"/>
    <w:rsid w:val="008B33AE"/>
    <w:rsid w:val="008B40D6"/>
    <w:rsid w:val="008B53B5"/>
    <w:rsid w:val="008B60E9"/>
    <w:rsid w:val="008C0667"/>
    <w:rsid w:val="008C14EE"/>
    <w:rsid w:val="008C15F9"/>
    <w:rsid w:val="008C1A8E"/>
    <w:rsid w:val="008C1E9E"/>
    <w:rsid w:val="008C2104"/>
    <w:rsid w:val="008C2CD5"/>
    <w:rsid w:val="008C3187"/>
    <w:rsid w:val="008C4290"/>
    <w:rsid w:val="008C4E37"/>
    <w:rsid w:val="008C54D7"/>
    <w:rsid w:val="008C5E9C"/>
    <w:rsid w:val="008C66C6"/>
    <w:rsid w:val="008C6D3C"/>
    <w:rsid w:val="008C739E"/>
    <w:rsid w:val="008D01CF"/>
    <w:rsid w:val="008D0B5E"/>
    <w:rsid w:val="008D0CCC"/>
    <w:rsid w:val="008D1339"/>
    <w:rsid w:val="008D1B0D"/>
    <w:rsid w:val="008D2014"/>
    <w:rsid w:val="008D2355"/>
    <w:rsid w:val="008D24AC"/>
    <w:rsid w:val="008D27FF"/>
    <w:rsid w:val="008D2FCB"/>
    <w:rsid w:val="008D3468"/>
    <w:rsid w:val="008D367D"/>
    <w:rsid w:val="008D5695"/>
    <w:rsid w:val="008D59C7"/>
    <w:rsid w:val="008D6400"/>
    <w:rsid w:val="008D68B1"/>
    <w:rsid w:val="008D70B4"/>
    <w:rsid w:val="008D75CA"/>
    <w:rsid w:val="008E0E91"/>
    <w:rsid w:val="008E11AC"/>
    <w:rsid w:val="008E1F36"/>
    <w:rsid w:val="008E2361"/>
    <w:rsid w:val="008E2D58"/>
    <w:rsid w:val="008E3922"/>
    <w:rsid w:val="008E4253"/>
    <w:rsid w:val="008E5A2B"/>
    <w:rsid w:val="008E5FF8"/>
    <w:rsid w:val="008E60C3"/>
    <w:rsid w:val="008E695F"/>
    <w:rsid w:val="008E76BD"/>
    <w:rsid w:val="008F01AA"/>
    <w:rsid w:val="008F01DB"/>
    <w:rsid w:val="008F02D3"/>
    <w:rsid w:val="008F1177"/>
    <w:rsid w:val="008F13DE"/>
    <w:rsid w:val="008F14E6"/>
    <w:rsid w:val="008F154E"/>
    <w:rsid w:val="008F4844"/>
    <w:rsid w:val="008F49A2"/>
    <w:rsid w:val="008F4B74"/>
    <w:rsid w:val="008F4C86"/>
    <w:rsid w:val="008F7101"/>
    <w:rsid w:val="008F74CE"/>
    <w:rsid w:val="008F7AFB"/>
    <w:rsid w:val="0090009D"/>
    <w:rsid w:val="00900589"/>
    <w:rsid w:val="0090116B"/>
    <w:rsid w:val="009011FF"/>
    <w:rsid w:val="00901244"/>
    <w:rsid w:val="00901321"/>
    <w:rsid w:val="00901B42"/>
    <w:rsid w:val="00901E54"/>
    <w:rsid w:val="00902421"/>
    <w:rsid w:val="009055E0"/>
    <w:rsid w:val="0090574A"/>
    <w:rsid w:val="00905E36"/>
    <w:rsid w:val="00905EF0"/>
    <w:rsid w:val="009068E6"/>
    <w:rsid w:val="00906BA7"/>
    <w:rsid w:val="009070B3"/>
    <w:rsid w:val="00907C14"/>
    <w:rsid w:val="00910562"/>
    <w:rsid w:val="00912242"/>
    <w:rsid w:val="009130A6"/>
    <w:rsid w:val="009147D5"/>
    <w:rsid w:val="0091481D"/>
    <w:rsid w:val="009157CF"/>
    <w:rsid w:val="009160CC"/>
    <w:rsid w:val="00916AED"/>
    <w:rsid w:val="00916B94"/>
    <w:rsid w:val="00916DF4"/>
    <w:rsid w:val="0091726B"/>
    <w:rsid w:val="009179C6"/>
    <w:rsid w:val="009210EA"/>
    <w:rsid w:val="0092160E"/>
    <w:rsid w:val="0092251A"/>
    <w:rsid w:val="00922C0C"/>
    <w:rsid w:val="009240DE"/>
    <w:rsid w:val="009242AB"/>
    <w:rsid w:val="00924AF2"/>
    <w:rsid w:val="00924CA4"/>
    <w:rsid w:val="00924DD8"/>
    <w:rsid w:val="0092610F"/>
    <w:rsid w:val="009278CA"/>
    <w:rsid w:val="00927FB5"/>
    <w:rsid w:val="00930C69"/>
    <w:rsid w:val="009316EC"/>
    <w:rsid w:val="0093172B"/>
    <w:rsid w:val="00932473"/>
    <w:rsid w:val="009328C3"/>
    <w:rsid w:val="00932B0D"/>
    <w:rsid w:val="00933048"/>
    <w:rsid w:val="00933A38"/>
    <w:rsid w:val="00933F6D"/>
    <w:rsid w:val="00934489"/>
    <w:rsid w:val="0093576B"/>
    <w:rsid w:val="00936D2D"/>
    <w:rsid w:val="00937132"/>
    <w:rsid w:val="00940A27"/>
    <w:rsid w:val="00940C1E"/>
    <w:rsid w:val="0094101A"/>
    <w:rsid w:val="00944243"/>
    <w:rsid w:val="009456FB"/>
    <w:rsid w:val="00946EB4"/>
    <w:rsid w:val="00947197"/>
    <w:rsid w:val="009472A3"/>
    <w:rsid w:val="00947B26"/>
    <w:rsid w:val="00947E3E"/>
    <w:rsid w:val="00952512"/>
    <w:rsid w:val="00953000"/>
    <w:rsid w:val="0095306F"/>
    <w:rsid w:val="009532DB"/>
    <w:rsid w:val="00953582"/>
    <w:rsid w:val="00957437"/>
    <w:rsid w:val="009575F8"/>
    <w:rsid w:val="0095781A"/>
    <w:rsid w:val="009578D7"/>
    <w:rsid w:val="009607D7"/>
    <w:rsid w:val="0096169E"/>
    <w:rsid w:val="0096186D"/>
    <w:rsid w:val="0096240E"/>
    <w:rsid w:val="009631DE"/>
    <w:rsid w:val="0096351F"/>
    <w:rsid w:val="00963540"/>
    <w:rsid w:val="00963FCA"/>
    <w:rsid w:val="00964489"/>
    <w:rsid w:val="009645F8"/>
    <w:rsid w:val="009646E4"/>
    <w:rsid w:val="00964748"/>
    <w:rsid w:val="0096512A"/>
    <w:rsid w:val="00966F21"/>
    <w:rsid w:val="00967324"/>
    <w:rsid w:val="00967390"/>
    <w:rsid w:val="0096779F"/>
    <w:rsid w:val="00970676"/>
    <w:rsid w:val="00971981"/>
    <w:rsid w:val="00971A08"/>
    <w:rsid w:val="00971F92"/>
    <w:rsid w:val="0097208E"/>
    <w:rsid w:val="009724FF"/>
    <w:rsid w:val="0097266E"/>
    <w:rsid w:val="009728B8"/>
    <w:rsid w:val="0097294F"/>
    <w:rsid w:val="00972E14"/>
    <w:rsid w:val="009732EF"/>
    <w:rsid w:val="00973B75"/>
    <w:rsid w:val="00974027"/>
    <w:rsid w:val="0097472A"/>
    <w:rsid w:val="009749FD"/>
    <w:rsid w:val="00974A40"/>
    <w:rsid w:val="00974EA5"/>
    <w:rsid w:val="00975480"/>
    <w:rsid w:val="00975ED3"/>
    <w:rsid w:val="009769C9"/>
    <w:rsid w:val="00976BA4"/>
    <w:rsid w:val="009775BA"/>
    <w:rsid w:val="00977B92"/>
    <w:rsid w:val="00980F5D"/>
    <w:rsid w:val="0098140D"/>
    <w:rsid w:val="00981518"/>
    <w:rsid w:val="0098160A"/>
    <w:rsid w:val="00981E30"/>
    <w:rsid w:val="00983172"/>
    <w:rsid w:val="00983AE2"/>
    <w:rsid w:val="00984F75"/>
    <w:rsid w:val="0098511E"/>
    <w:rsid w:val="00985775"/>
    <w:rsid w:val="00985C57"/>
    <w:rsid w:val="00986592"/>
    <w:rsid w:val="00986B55"/>
    <w:rsid w:val="00987718"/>
    <w:rsid w:val="009907C0"/>
    <w:rsid w:val="00990FF1"/>
    <w:rsid w:val="0099235E"/>
    <w:rsid w:val="00992566"/>
    <w:rsid w:val="00993275"/>
    <w:rsid w:val="00993AF8"/>
    <w:rsid w:val="00994447"/>
    <w:rsid w:val="00994AFD"/>
    <w:rsid w:val="00994DC5"/>
    <w:rsid w:val="00995FF1"/>
    <w:rsid w:val="00997017"/>
    <w:rsid w:val="009970BD"/>
    <w:rsid w:val="00997227"/>
    <w:rsid w:val="00997D3B"/>
    <w:rsid w:val="009A257C"/>
    <w:rsid w:val="009A3385"/>
    <w:rsid w:val="009A6706"/>
    <w:rsid w:val="009A6A01"/>
    <w:rsid w:val="009A6E70"/>
    <w:rsid w:val="009B0CB9"/>
    <w:rsid w:val="009B108C"/>
    <w:rsid w:val="009B2E9E"/>
    <w:rsid w:val="009B399A"/>
    <w:rsid w:val="009B45F5"/>
    <w:rsid w:val="009B52DD"/>
    <w:rsid w:val="009B5B01"/>
    <w:rsid w:val="009B60FB"/>
    <w:rsid w:val="009B65C7"/>
    <w:rsid w:val="009B69C2"/>
    <w:rsid w:val="009B6C1A"/>
    <w:rsid w:val="009C114F"/>
    <w:rsid w:val="009C1255"/>
    <w:rsid w:val="009C15DC"/>
    <w:rsid w:val="009C1718"/>
    <w:rsid w:val="009C2A52"/>
    <w:rsid w:val="009C387E"/>
    <w:rsid w:val="009C3C8D"/>
    <w:rsid w:val="009C3E37"/>
    <w:rsid w:val="009C4FC1"/>
    <w:rsid w:val="009C523F"/>
    <w:rsid w:val="009C6064"/>
    <w:rsid w:val="009C6765"/>
    <w:rsid w:val="009C6AB2"/>
    <w:rsid w:val="009C6E41"/>
    <w:rsid w:val="009C752B"/>
    <w:rsid w:val="009C7700"/>
    <w:rsid w:val="009C7BB1"/>
    <w:rsid w:val="009D187B"/>
    <w:rsid w:val="009D1BC7"/>
    <w:rsid w:val="009D2096"/>
    <w:rsid w:val="009D2428"/>
    <w:rsid w:val="009D242C"/>
    <w:rsid w:val="009D364C"/>
    <w:rsid w:val="009D3996"/>
    <w:rsid w:val="009D428F"/>
    <w:rsid w:val="009D4349"/>
    <w:rsid w:val="009D5430"/>
    <w:rsid w:val="009D5664"/>
    <w:rsid w:val="009D5E65"/>
    <w:rsid w:val="009D7277"/>
    <w:rsid w:val="009D7FBD"/>
    <w:rsid w:val="009E0798"/>
    <w:rsid w:val="009E0A05"/>
    <w:rsid w:val="009E0B7E"/>
    <w:rsid w:val="009E2E8C"/>
    <w:rsid w:val="009E302C"/>
    <w:rsid w:val="009E3E7F"/>
    <w:rsid w:val="009E4195"/>
    <w:rsid w:val="009E4652"/>
    <w:rsid w:val="009E4671"/>
    <w:rsid w:val="009E5F12"/>
    <w:rsid w:val="009E6620"/>
    <w:rsid w:val="009E68C8"/>
    <w:rsid w:val="009E6F07"/>
    <w:rsid w:val="009E7489"/>
    <w:rsid w:val="009E7D66"/>
    <w:rsid w:val="009F0886"/>
    <w:rsid w:val="009F0D8D"/>
    <w:rsid w:val="009F1DD8"/>
    <w:rsid w:val="009F283A"/>
    <w:rsid w:val="009F4248"/>
    <w:rsid w:val="009F4348"/>
    <w:rsid w:val="009F4465"/>
    <w:rsid w:val="009F4EC3"/>
    <w:rsid w:val="009F6931"/>
    <w:rsid w:val="009F70AF"/>
    <w:rsid w:val="009F72F9"/>
    <w:rsid w:val="009F7424"/>
    <w:rsid w:val="009F7A09"/>
    <w:rsid w:val="00A00E42"/>
    <w:rsid w:val="00A00F02"/>
    <w:rsid w:val="00A01AAC"/>
    <w:rsid w:val="00A01F2A"/>
    <w:rsid w:val="00A0257B"/>
    <w:rsid w:val="00A02823"/>
    <w:rsid w:val="00A029CA"/>
    <w:rsid w:val="00A02D3F"/>
    <w:rsid w:val="00A02EEA"/>
    <w:rsid w:val="00A05F64"/>
    <w:rsid w:val="00A0644D"/>
    <w:rsid w:val="00A06AAC"/>
    <w:rsid w:val="00A1097D"/>
    <w:rsid w:val="00A10E7F"/>
    <w:rsid w:val="00A113FD"/>
    <w:rsid w:val="00A11BC4"/>
    <w:rsid w:val="00A11F5C"/>
    <w:rsid w:val="00A125B3"/>
    <w:rsid w:val="00A12607"/>
    <w:rsid w:val="00A12773"/>
    <w:rsid w:val="00A12F35"/>
    <w:rsid w:val="00A13055"/>
    <w:rsid w:val="00A131AD"/>
    <w:rsid w:val="00A132D5"/>
    <w:rsid w:val="00A13B09"/>
    <w:rsid w:val="00A149BE"/>
    <w:rsid w:val="00A14C5E"/>
    <w:rsid w:val="00A151D9"/>
    <w:rsid w:val="00A15623"/>
    <w:rsid w:val="00A15AD5"/>
    <w:rsid w:val="00A16DFC"/>
    <w:rsid w:val="00A1744A"/>
    <w:rsid w:val="00A17694"/>
    <w:rsid w:val="00A20201"/>
    <w:rsid w:val="00A21F89"/>
    <w:rsid w:val="00A22442"/>
    <w:rsid w:val="00A233C4"/>
    <w:rsid w:val="00A2369D"/>
    <w:rsid w:val="00A243AB"/>
    <w:rsid w:val="00A24C46"/>
    <w:rsid w:val="00A25254"/>
    <w:rsid w:val="00A254F8"/>
    <w:rsid w:val="00A2588D"/>
    <w:rsid w:val="00A25AA4"/>
    <w:rsid w:val="00A26B80"/>
    <w:rsid w:val="00A27186"/>
    <w:rsid w:val="00A30941"/>
    <w:rsid w:val="00A30C35"/>
    <w:rsid w:val="00A31378"/>
    <w:rsid w:val="00A31B3C"/>
    <w:rsid w:val="00A32E2D"/>
    <w:rsid w:val="00A332F3"/>
    <w:rsid w:val="00A3335B"/>
    <w:rsid w:val="00A3368F"/>
    <w:rsid w:val="00A337C0"/>
    <w:rsid w:val="00A33B06"/>
    <w:rsid w:val="00A34479"/>
    <w:rsid w:val="00A34776"/>
    <w:rsid w:val="00A34A63"/>
    <w:rsid w:val="00A36C62"/>
    <w:rsid w:val="00A36FA5"/>
    <w:rsid w:val="00A36FE5"/>
    <w:rsid w:val="00A3790E"/>
    <w:rsid w:val="00A40188"/>
    <w:rsid w:val="00A40E8C"/>
    <w:rsid w:val="00A426DE"/>
    <w:rsid w:val="00A42A07"/>
    <w:rsid w:val="00A4319F"/>
    <w:rsid w:val="00A43941"/>
    <w:rsid w:val="00A446E9"/>
    <w:rsid w:val="00A44C52"/>
    <w:rsid w:val="00A45144"/>
    <w:rsid w:val="00A45C75"/>
    <w:rsid w:val="00A46CEF"/>
    <w:rsid w:val="00A47990"/>
    <w:rsid w:val="00A47A4B"/>
    <w:rsid w:val="00A51C08"/>
    <w:rsid w:val="00A521DC"/>
    <w:rsid w:val="00A52404"/>
    <w:rsid w:val="00A5381A"/>
    <w:rsid w:val="00A53C76"/>
    <w:rsid w:val="00A54160"/>
    <w:rsid w:val="00A54BAF"/>
    <w:rsid w:val="00A567E1"/>
    <w:rsid w:val="00A569CA"/>
    <w:rsid w:val="00A56AF6"/>
    <w:rsid w:val="00A6144C"/>
    <w:rsid w:val="00A61B05"/>
    <w:rsid w:val="00A61E84"/>
    <w:rsid w:val="00A61ECE"/>
    <w:rsid w:val="00A62325"/>
    <w:rsid w:val="00A62778"/>
    <w:rsid w:val="00A62888"/>
    <w:rsid w:val="00A62E08"/>
    <w:rsid w:val="00A641A6"/>
    <w:rsid w:val="00A649F5"/>
    <w:rsid w:val="00A65A66"/>
    <w:rsid w:val="00A65B00"/>
    <w:rsid w:val="00A65D4F"/>
    <w:rsid w:val="00A66041"/>
    <w:rsid w:val="00A660A3"/>
    <w:rsid w:val="00A66BFE"/>
    <w:rsid w:val="00A67014"/>
    <w:rsid w:val="00A670C0"/>
    <w:rsid w:val="00A6785C"/>
    <w:rsid w:val="00A70FF5"/>
    <w:rsid w:val="00A71DBE"/>
    <w:rsid w:val="00A723CB"/>
    <w:rsid w:val="00A73608"/>
    <w:rsid w:val="00A7360A"/>
    <w:rsid w:val="00A73C60"/>
    <w:rsid w:val="00A749FC"/>
    <w:rsid w:val="00A74E88"/>
    <w:rsid w:val="00A7658A"/>
    <w:rsid w:val="00A765C0"/>
    <w:rsid w:val="00A76F39"/>
    <w:rsid w:val="00A812EE"/>
    <w:rsid w:val="00A81C4D"/>
    <w:rsid w:val="00A81FAE"/>
    <w:rsid w:val="00A83BE5"/>
    <w:rsid w:val="00A83C97"/>
    <w:rsid w:val="00A8454E"/>
    <w:rsid w:val="00A846F5"/>
    <w:rsid w:val="00A84BAA"/>
    <w:rsid w:val="00A84DD0"/>
    <w:rsid w:val="00A85C0D"/>
    <w:rsid w:val="00A86BBF"/>
    <w:rsid w:val="00A86BD0"/>
    <w:rsid w:val="00A901B1"/>
    <w:rsid w:val="00A9074A"/>
    <w:rsid w:val="00A90DCE"/>
    <w:rsid w:val="00A918A0"/>
    <w:rsid w:val="00A9264F"/>
    <w:rsid w:val="00A93268"/>
    <w:rsid w:val="00A9361E"/>
    <w:rsid w:val="00A938D8"/>
    <w:rsid w:val="00A939BF"/>
    <w:rsid w:val="00A943FF"/>
    <w:rsid w:val="00A95837"/>
    <w:rsid w:val="00A95AAF"/>
    <w:rsid w:val="00A95F4C"/>
    <w:rsid w:val="00A963A2"/>
    <w:rsid w:val="00A96888"/>
    <w:rsid w:val="00A972D2"/>
    <w:rsid w:val="00A975F0"/>
    <w:rsid w:val="00A97E3F"/>
    <w:rsid w:val="00A97F11"/>
    <w:rsid w:val="00AA0B51"/>
    <w:rsid w:val="00AA0D7F"/>
    <w:rsid w:val="00AA1200"/>
    <w:rsid w:val="00AA1692"/>
    <w:rsid w:val="00AA1913"/>
    <w:rsid w:val="00AA2BC3"/>
    <w:rsid w:val="00AA2DE7"/>
    <w:rsid w:val="00AA2EB5"/>
    <w:rsid w:val="00AA5E71"/>
    <w:rsid w:val="00AA6297"/>
    <w:rsid w:val="00AA62CE"/>
    <w:rsid w:val="00AA69C1"/>
    <w:rsid w:val="00AA74CC"/>
    <w:rsid w:val="00AB0084"/>
    <w:rsid w:val="00AB0850"/>
    <w:rsid w:val="00AB09EB"/>
    <w:rsid w:val="00AB1363"/>
    <w:rsid w:val="00AB149D"/>
    <w:rsid w:val="00AB1FEA"/>
    <w:rsid w:val="00AB2024"/>
    <w:rsid w:val="00AB21A4"/>
    <w:rsid w:val="00AB2202"/>
    <w:rsid w:val="00AB3688"/>
    <w:rsid w:val="00AB3FD1"/>
    <w:rsid w:val="00AB4674"/>
    <w:rsid w:val="00AB47F7"/>
    <w:rsid w:val="00AB48FD"/>
    <w:rsid w:val="00AB57CA"/>
    <w:rsid w:val="00AB5E4B"/>
    <w:rsid w:val="00AB5EDF"/>
    <w:rsid w:val="00AB64FB"/>
    <w:rsid w:val="00AB6CD8"/>
    <w:rsid w:val="00AB7C53"/>
    <w:rsid w:val="00AB7FC8"/>
    <w:rsid w:val="00AC0735"/>
    <w:rsid w:val="00AC0D60"/>
    <w:rsid w:val="00AC3320"/>
    <w:rsid w:val="00AC4250"/>
    <w:rsid w:val="00AC4D3B"/>
    <w:rsid w:val="00AC6643"/>
    <w:rsid w:val="00AC75F8"/>
    <w:rsid w:val="00AC7970"/>
    <w:rsid w:val="00AD1277"/>
    <w:rsid w:val="00AD12A7"/>
    <w:rsid w:val="00AD178A"/>
    <w:rsid w:val="00AD1AAA"/>
    <w:rsid w:val="00AD2889"/>
    <w:rsid w:val="00AD2ED3"/>
    <w:rsid w:val="00AD3156"/>
    <w:rsid w:val="00AD3460"/>
    <w:rsid w:val="00AD3DC8"/>
    <w:rsid w:val="00AD461D"/>
    <w:rsid w:val="00AD4BE9"/>
    <w:rsid w:val="00AD5117"/>
    <w:rsid w:val="00AD659C"/>
    <w:rsid w:val="00AD79E4"/>
    <w:rsid w:val="00AE04F9"/>
    <w:rsid w:val="00AE0ABB"/>
    <w:rsid w:val="00AE17A2"/>
    <w:rsid w:val="00AE1FA7"/>
    <w:rsid w:val="00AE3BCC"/>
    <w:rsid w:val="00AE40EF"/>
    <w:rsid w:val="00AE47B8"/>
    <w:rsid w:val="00AE575E"/>
    <w:rsid w:val="00AE62C8"/>
    <w:rsid w:val="00AE7783"/>
    <w:rsid w:val="00AE7ED3"/>
    <w:rsid w:val="00AF1240"/>
    <w:rsid w:val="00AF2087"/>
    <w:rsid w:val="00AF2BDC"/>
    <w:rsid w:val="00AF4709"/>
    <w:rsid w:val="00AF5CFB"/>
    <w:rsid w:val="00AF6BEF"/>
    <w:rsid w:val="00AF6E48"/>
    <w:rsid w:val="00AF7A0B"/>
    <w:rsid w:val="00B002B9"/>
    <w:rsid w:val="00B00311"/>
    <w:rsid w:val="00B00A05"/>
    <w:rsid w:val="00B00BA4"/>
    <w:rsid w:val="00B0120D"/>
    <w:rsid w:val="00B02FA8"/>
    <w:rsid w:val="00B02FD8"/>
    <w:rsid w:val="00B0313E"/>
    <w:rsid w:val="00B035D2"/>
    <w:rsid w:val="00B04D88"/>
    <w:rsid w:val="00B050A4"/>
    <w:rsid w:val="00B053AE"/>
    <w:rsid w:val="00B0575E"/>
    <w:rsid w:val="00B05CBA"/>
    <w:rsid w:val="00B077CA"/>
    <w:rsid w:val="00B101F2"/>
    <w:rsid w:val="00B109D1"/>
    <w:rsid w:val="00B10B57"/>
    <w:rsid w:val="00B11357"/>
    <w:rsid w:val="00B1140C"/>
    <w:rsid w:val="00B11BFE"/>
    <w:rsid w:val="00B1273E"/>
    <w:rsid w:val="00B12ECB"/>
    <w:rsid w:val="00B1428D"/>
    <w:rsid w:val="00B156D3"/>
    <w:rsid w:val="00B16DC7"/>
    <w:rsid w:val="00B17C86"/>
    <w:rsid w:val="00B2002F"/>
    <w:rsid w:val="00B2073C"/>
    <w:rsid w:val="00B21B16"/>
    <w:rsid w:val="00B22E81"/>
    <w:rsid w:val="00B235B5"/>
    <w:rsid w:val="00B2427E"/>
    <w:rsid w:val="00B256ED"/>
    <w:rsid w:val="00B26902"/>
    <w:rsid w:val="00B274DD"/>
    <w:rsid w:val="00B27AFF"/>
    <w:rsid w:val="00B27F8F"/>
    <w:rsid w:val="00B30CC1"/>
    <w:rsid w:val="00B3144E"/>
    <w:rsid w:val="00B321DD"/>
    <w:rsid w:val="00B32AED"/>
    <w:rsid w:val="00B32DFC"/>
    <w:rsid w:val="00B35594"/>
    <w:rsid w:val="00B36450"/>
    <w:rsid w:val="00B37584"/>
    <w:rsid w:val="00B37B28"/>
    <w:rsid w:val="00B4014A"/>
    <w:rsid w:val="00B40718"/>
    <w:rsid w:val="00B40924"/>
    <w:rsid w:val="00B4135E"/>
    <w:rsid w:val="00B41D10"/>
    <w:rsid w:val="00B4200A"/>
    <w:rsid w:val="00B4276D"/>
    <w:rsid w:val="00B42800"/>
    <w:rsid w:val="00B4288C"/>
    <w:rsid w:val="00B43158"/>
    <w:rsid w:val="00B43201"/>
    <w:rsid w:val="00B44E50"/>
    <w:rsid w:val="00B46569"/>
    <w:rsid w:val="00B4670B"/>
    <w:rsid w:val="00B47588"/>
    <w:rsid w:val="00B47D76"/>
    <w:rsid w:val="00B47E08"/>
    <w:rsid w:val="00B501C4"/>
    <w:rsid w:val="00B51454"/>
    <w:rsid w:val="00B51EEA"/>
    <w:rsid w:val="00B51EFE"/>
    <w:rsid w:val="00B5220B"/>
    <w:rsid w:val="00B52B38"/>
    <w:rsid w:val="00B52F2C"/>
    <w:rsid w:val="00B53859"/>
    <w:rsid w:val="00B539CB"/>
    <w:rsid w:val="00B54AA3"/>
    <w:rsid w:val="00B54AAD"/>
    <w:rsid w:val="00B54D06"/>
    <w:rsid w:val="00B5557A"/>
    <w:rsid w:val="00B5571F"/>
    <w:rsid w:val="00B576C6"/>
    <w:rsid w:val="00B6017B"/>
    <w:rsid w:val="00B6032C"/>
    <w:rsid w:val="00B60DAE"/>
    <w:rsid w:val="00B624E5"/>
    <w:rsid w:val="00B62832"/>
    <w:rsid w:val="00B650D7"/>
    <w:rsid w:val="00B6570B"/>
    <w:rsid w:val="00B67954"/>
    <w:rsid w:val="00B67A4B"/>
    <w:rsid w:val="00B67DA1"/>
    <w:rsid w:val="00B703D9"/>
    <w:rsid w:val="00B70724"/>
    <w:rsid w:val="00B70EA3"/>
    <w:rsid w:val="00B70F8A"/>
    <w:rsid w:val="00B718C1"/>
    <w:rsid w:val="00B71A79"/>
    <w:rsid w:val="00B71B1A"/>
    <w:rsid w:val="00B723B0"/>
    <w:rsid w:val="00B7241E"/>
    <w:rsid w:val="00B7245B"/>
    <w:rsid w:val="00B72E13"/>
    <w:rsid w:val="00B736E9"/>
    <w:rsid w:val="00B747BA"/>
    <w:rsid w:val="00B76639"/>
    <w:rsid w:val="00B766DE"/>
    <w:rsid w:val="00B766F6"/>
    <w:rsid w:val="00B772C8"/>
    <w:rsid w:val="00B77FBA"/>
    <w:rsid w:val="00B80191"/>
    <w:rsid w:val="00B804EE"/>
    <w:rsid w:val="00B80CFB"/>
    <w:rsid w:val="00B8108F"/>
    <w:rsid w:val="00B812E1"/>
    <w:rsid w:val="00B8199D"/>
    <w:rsid w:val="00B81AAA"/>
    <w:rsid w:val="00B822F8"/>
    <w:rsid w:val="00B824F8"/>
    <w:rsid w:val="00B8325B"/>
    <w:rsid w:val="00B83508"/>
    <w:rsid w:val="00B837D7"/>
    <w:rsid w:val="00B83A8C"/>
    <w:rsid w:val="00B84D7F"/>
    <w:rsid w:val="00B84D9A"/>
    <w:rsid w:val="00B8519F"/>
    <w:rsid w:val="00B855D4"/>
    <w:rsid w:val="00B85EB5"/>
    <w:rsid w:val="00B86408"/>
    <w:rsid w:val="00B867C1"/>
    <w:rsid w:val="00B86E51"/>
    <w:rsid w:val="00B87AE0"/>
    <w:rsid w:val="00B87C9D"/>
    <w:rsid w:val="00B87F46"/>
    <w:rsid w:val="00B91049"/>
    <w:rsid w:val="00B9202F"/>
    <w:rsid w:val="00B92081"/>
    <w:rsid w:val="00B93036"/>
    <w:rsid w:val="00B9320B"/>
    <w:rsid w:val="00B950A8"/>
    <w:rsid w:val="00B975EB"/>
    <w:rsid w:val="00BA0C63"/>
    <w:rsid w:val="00BA2728"/>
    <w:rsid w:val="00BA36B9"/>
    <w:rsid w:val="00BA3D5C"/>
    <w:rsid w:val="00BA4059"/>
    <w:rsid w:val="00BA422B"/>
    <w:rsid w:val="00BA5423"/>
    <w:rsid w:val="00BA5C21"/>
    <w:rsid w:val="00BA5C40"/>
    <w:rsid w:val="00BA6776"/>
    <w:rsid w:val="00BA70E7"/>
    <w:rsid w:val="00BA7B52"/>
    <w:rsid w:val="00BA7D1D"/>
    <w:rsid w:val="00BB023A"/>
    <w:rsid w:val="00BB02B8"/>
    <w:rsid w:val="00BB062C"/>
    <w:rsid w:val="00BB14CF"/>
    <w:rsid w:val="00BB1CD7"/>
    <w:rsid w:val="00BB374F"/>
    <w:rsid w:val="00BB3C64"/>
    <w:rsid w:val="00BB3E1A"/>
    <w:rsid w:val="00BB4028"/>
    <w:rsid w:val="00BB4CF6"/>
    <w:rsid w:val="00BB56AD"/>
    <w:rsid w:val="00BB58CF"/>
    <w:rsid w:val="00BB5A89"/>
    <w:rsid w:val="00BB6116"/>
    <w:rsid w:val="00BB667A"/>
    <w:rsid w:val="00BB7AB6"/>
    <w:rsid w:val="00BB7EEE"/>
    <w:rsid w:val="00BB7F14"/>
    <w:rsid w:val="00BC0760"/>
    <w:rsid w:val="00BC49FE"/>
    <w:rsid w:val="00BC4E0C"/>
    <w:rsid w:val="00BC4F54"/>
    <w:rsid w:val="00BC59D6"/>
    <w:rsid w:val="00BC6865"/>
    <w:rsid w:val="00BC6D56"/>
    <w:rsid w:val="00BD0137"/>
    <w:rsid w:val="00BD0BD1"/>
    <w:rsid w:val="00BD0D11"/>
    <w:rsid w:val="00BD0FDF"/>
    <w:rsid w:val="00BD1821"/>
    <w:rsid w:val="00BD1B7F"/>
    <w:rsid w:val="00BD20B9"/>
    <w:rsid w:val="00BD3E72"/>
    <w:rsid w:val="00BD45DB"/>
    <w:rsid w:val="00BD5712"/>
    <w:rsid w:val="00BD6836"/>
    <w:rsid w:val="00BD686F"/>
    <w:rsid w:val="00BD6A6B"/>
    <w:rsid w:val="00BD7614"/>
    <w:rsid w:val="00BE0542"/>
    <w:rsid w:val="00BE0A06"/>
    <w:rsid w:val="00BE2231"/>
    <w:rsid w:val="00BE229D"/>
    <w:rsid w:val="00BE23B0"/>
    <w:rsid w:val="00BE31CB"/>
    <w:rsid w:val="00BE331B"/>
    <w:rsid w:val="00BE3821"/>
    <w:rsid w:val="00BE39C8"/>
    <w:rsid w:val="00BE49DC"/>
    <w:rsid w:val="00BE4B54"/>
    <w:rsid w:val="00BE5091"/>
    <w:rsid w:val="00BE513C"/>
    <w:rsid w:val="00BE58C6"/>
    <w:rsid w:val="00BE66B0"/>
    <w:rsid w:val="00BE7523"/>
    <w:rsid w:val="00BE7E70"/>
    <w:rsid w:val="00BF1894"/>
    <w:rsid w:val="00BF2523"/>
    <w:rsid w:val="00BF2FB4"/>
    <w:rsid w:val="00BF2FE4"/>
    <w:rsid w:val="00BF3261"/>
    <w:rsid w:val="00BF387B"/>
    <w:rsid w:val="00BF4921"/>
    <w:rsid w:val="00BF4D29"/>
    <w:rsid w:val="00BF5949"/>
    <w:rsid w:val="00BF6BD1"/>
    <w:rsid w:val="00BF6C47"/>
    <w:rsid w:val="00BF7277"/>
    <w:rsid w:val="00BF72FB"/>
    <w:rsid w:val="00BF7377"/>
    <w:rsid w:val="00BF79CE"/>
    <w:rsid w:val="00C00D30"/>
    <w:rsid w:val="00C01A36"/>
    <w:rsid w:val="00C01B04"/>
    <w:rsid w:val="00C0226C"/>
    <w:rsid w:val="00C022D9"/>
    <w:rsid w:val="00C02376"/>
    <w:rsid w:val="00C023C0"/>
    <w:rsid w:val="00C02717"/>
    <w:rsid w:val="00C034CD"/>
    <w:rsid w:val="00C037EB"/>
    <w:rsid w:val="00C0395C"/>
    <w:rsid w:val="00C046E1"/>
    <w:rsid w:val="00C07555"/>
    <w:rsid w:val="00C07C55"/>
    <w:rsid w:val="00C1169E"/>
    <w:rsid w:val="00C11762"/>
    <w:rsid w:val="00C11D17"/>
    <w:rsid w:val="00C131B7"/>
    <w:rsid w:val="00C13563"/>
    <w:rsid w:val="00C13F8C"/>
    <w:rsid w:val="00C14719"/>
    <w:rsid w:val="00C148F0"/>
    <w:rsid w:val="00C1507C"/>
    <w:rsid w:val="00C17AF2"/>
    <w:rsid w:val="00C206A1"/>
    <w:rsid w:val="00C2093D"/>
    <w:rsid w:val="00C20D08"/>
    <w:rsid w:val="00C20FE7"/>
    <w:rsid w:val="00C2120D"/>
    <w:rsid w:val="00C21EC4"/>
    <w:rsid w:val="00C2211C"/>
    <w:rsid w:val="00C239C9"/>
    <w:rsid w:val="00C23D5B"/>
    <w:rsid w:val="00C23ED6"/>
    <w:rsid w:val="00C25DFD"/>
    <w:rsid w:val="00C26466"/>
    <w:rsid w:val="00C264FE"/>
    <w:rsid w:val="00C268CC"/>
    <w:rsid w:val="00C26C51"/>
    <w:rsid w:val="00C27914"/>
    <w:rsid w:val="00C27C30"/>
    <w:rsid w:val="00C30065"/>
    <w:rsid w:val="00C30174"/>
    <w:rsid w:val="00C30336"/>
    <w:rsid w:val="00C311BA"/>
    <w:rsid w:val="00C32276"/>
    <w:rsid w:val="00C3248C"/>
    <w:rsid w:val="00C33C3D"/>
    <w:rsid w:val="00C33D46"/>
    <w:rsid w:val="00C3453B"/>
    <w:rsid w:val="00C34906"/>
    <w:rsid w:val="00C350C8"/>
    <w:rsid w:val="00C353F4"/>
    <w:rsid w:val="00C35959"/>
    <w:rsid w:val="00C36D77"/>
    <w:rsid w:val="00C375C0"/>
    <w:rsid w:val="00C40679"/>
    <w:rsid w:val="00C40685"/>
    <w:rsid w:val="00C407CB"/>
    <w:rsid w:val="00C40E24"/>
    <w:rsid w:val="00C4152F"/>
    <w:rsid w:val="00C41573"/>
    <w:rsid w:val="00C41FF9"/>
    <w:rsid w:val="00C42AB5"/>
    <w:rsid w:val="00C42DB4"/>
    <w:rsid w:val="00C4340C"/>
    <w:rsid w:val="00C43EAF"/>
    <w:rsid w:val="00C4433A"/>
    <w:rsid w:val="00C44BA5"/>
    <w:rsid w:val="00C4522A"/>
    <w:rsid w:val="00C45989"/>
    <w:rsid w:val="00C45B97"/>
    <w:rsid w:val="00C474A7"/>
    <w:rsid w:val="00C502F6"/>
    <w:rsid w:val="00C50B91"/>
    <w:rsid w:val="00C510F3"/>
    <w:rsid w:val="00C514A3"/>
    <w:rsid w:val="00C52CDB"/>
    <w:rsid w:val="00C53006"/>
    <w:rsid w:val="00C533FF"/>
    <w:rsid w:val="00C55975"/>
    <w:rsid w:val="00C5628F"/>
    <w:rsid w:val="00C5682E"/>
    <w:rsid w:val="00C56C3A"/>
    <w:rsid w:val="00C56FD6"/>
    <w:rsid w:val="00C572BA"/>
    <w:rsid w:val="00C604C1"/>
    <w:rsid w:val="00C614AD"/>
    <w:rsid w:val="00C61F4D"/>
    <w:rsid w:val="00C62087"/>
    <w:rsid w:val="00C62C28"/>
    <w:rsid w:val="00C63B3B"/>
    <w:rsid w:val="00C63B7A"/>
    <w:rsid w:val="00C64372"/>
    <w:rsid w:val="00C65AB9"/>
    <w:rsid w:val="00C65F6B"/>
    <w:rsid w:val="00C67B42"/>
    <w:rsid w:val="00C7003F"/>
    <w:rsid w:val="00C70053"/>
    <w:rsid w:val="00C7037B"/>
    <w:rsid w:val="00C707D7"/>
    <w:rsid w:val="00C7135B"/>
    <w:rsid w:val="00C71F94"/>
    <w:rsid w:val="00C721D4"/>
    <w:rsid w:val="00C72223"/>
    <w:rsid w:val="00C724CD"/>
    <w:rsid w:val="00C72F47"/>
    <w:rsid w:val="00C73779"/>
    <w:rsid w:val="00C7521E"/>
    <w:rsid w:val="00C764EA"/>
    <w:rsid w:val="00C76667"/>
    <w:rsid w:val="00C7682F"/>
    <w:rsid w:val="00C76922"/>
    <w:rsid w:val="00C76E0C"/>
    <w:rsid w:val="00C7728E"/>
    <w:rsid w:val="00C77DD8"/>
    <w:rsid w:val="00C80D6D"/>
    <w:rsid w:val="00C82234"/>
    <w:rsid w:val="00C83322"/>
    <w:rsid w:val="00C833B1"/>
    <w:rsid w:val="00C83A17"/>
    <w:rsid w:val="00C83B31"/>
    <w:rsid w:val="00C83E57"/>
    <w:rsid w:val="00C84CF5"/>
    <w:rsid w:val="00C85947"/>
    <w:rsid w:val="00C85DBB"/>
    <w:rsid w:val="00C86431"/>
    <w:rsid w:val="00C8645F"/>
    <w:rsid w:val="00C905F3"/>
    <w:rsid w:val="00C90641"/>
    <w:rsid w:val="00C90C38"/>
    <w:rsid w:val="00C90F23"/>
    <w:rsid w:val="00C912D0"/>
    <w:rsid w:val="00C91A04"/>
    <w:rsid w:val="00C91EDE"/>
    <w:rsid w:val="00C92200"/>
    <w:rsid w:val="00C92D43"/>
    <w:rsid w:val="00C9326C"/>
    <w:rsid w:val="00C937F5"/>
    <w:rsid w:val="00C93DCC"/>
    <w:rsid w:val="00C94952"/>
    <w:rsid w:val="00C953F7"/>
    <w:rsid w:val="00C95EAB"/>
    <w:rsid w:val="00C9634A"/>
    <w:rsid w:val="00C96932"/>
    <w:rsid w:val="00C969B6"/>
    <w:rsid w:val="00C96A79"/>
    <w:rsid w:val="00C96BC4"/>
    <w:rsid w:val="00C96CE1"/>
    <w:rsid w:val="00C96ECC"/>
    <w:rsid w:val="00C96ED2"/>
    <w:rsid w:val="00C97DFB"/>
    <w:rsid w:val="00C97F48"/>
    <w:rsid w:val="00CA05BD"/>
    <w:rsid w:val="00CA0940"/>
    <w:rsid w:val="00CA0C3D"/>
    <w:rsid w:val="00CA0EB0"/>
    <w:rsid w:val="00CA0EE1"/>
    <w:rsid w:val="00CA1963"/>
    <w:rsid w:val="00CA2191"/>
    <w:rsid w:val="00CA2517"/>
    <w:rsid w:val="00CA29D5"/>
    <w:rsid w:val="00CA3133"/>
    <w:rsid w:val="00CA33E8"/>
    <w:rsid w:val="00CA417A"/>
    <w:rsid w:val="00CA43E2"/>
    <w:rsid w:val="00CA4487"/>
    <w:rsid w:val="00CA5428"/>
    <w:rsid w:val="00CA5C69"/>
    <w:rsid w:val="00CA5D38"/>
    <w:rsid w:val="00CA7156"/>
    <w:rsid w:val="00CA74D2"/>
    <w:rsid w:val="00CA7664"/>
    <w:rsid w:val="00CA7A4C"/>
    <w:rsid w:val="00CA7B53"/>
    <w:rsid w:val="00CA7DFE"/>
    <w:rsid w:val="00CA7F54"/>
    <w:rsid w:val="00CA7FB0"/>
    <w:rsid w:val="00CA7FF5"/>
    <w:rsid w:val="00CB0378"/>
    <w:rsid w:val="00CB05A4"/>
    <w:rsid w:val="00CB1453"/>
    <w:rsid w:val="00CB1C18"/>
    <w:rsid w:val="00CB1D58"/>
    <w:rsid w:val="00CB4121"/>
    <w:rsid w:val="00CB5832"/>
    <w:rsid w:val="00CB654C"/>
    <w:rsid w:val="00CB67ED"/>
    <w:rsid w:val="00CB7C19"/>
    <w:rsid w:val="00CB7D57"/>
    <w:rsid w:val="00CC1939"/>
    <w:rsid w:val="00CC198A"/>
    <w:rsid w:val="00CC20C5"/>
    <w:rsid w:val="00CC3B73"/>
    <w:rsid w:val="00CC3DA0"/>
    <w:rsid w:val="00CC4073"/>
    <w:rsid w:val="00CC49A0"/>
    <w:rsid w:val="00CC4F98"/>
    <w:rsid w:val="00CC5414"/>
    <w:rsid w:val="00CC54F1"/>
    <w:rsid w:val="00CC55D3"/>
    <w:rsid w:val="00CC57D7"/>
    <w:rsid w:val="00CC6459"/>
    <w:rsid w:val="00CC69B9"/>
    <w:rsid w:val="00CC6B2B"/>
    <w:rsid w:val="00CC6D36"/>
    <w:rsid w:val="00CC77B0"/>
    <w:rsid w:val="00CC7B49"/>
    <w:rsid w:val="00CC7B81"/>
    <w:rsid w:val="00CD10AC"/>
    <w:rsid w:val="00CD2184"/>
    <w:rsid w:val="00CD22C5"/>
    <w:rsid w:val="00CD2504"/>
    <w:rsid w:val="00CD2AB6"/>
    <w:rsid w:val="00CD2D96"/>
    <w:rsid w:val="00CD30D7"/>
    <w:rsid w:val="00CD34CD"/>
    <w:rsid w:val="00CD3C1B"/>
    <w:rsid w:val="00CD401D"/>
    <w:rsid w:val="00CD4356"/>
    <w:rsid w:val="00CD4630"/>
    <w:rsid w:val="00CD48CF"/>
    <w:rsid w:val="00CD4BCF"/>
    <w:rsid w:val="00CD5AAA"/>
    <w:rsid w:val="00CD61F4"/>
    <w:rsid w:val="00CD74C3"/>
    <w:rsid w:val="00CD7B2F"/>
    <w:rsid w:val="00CE06F7"/>
    <w:rsid w:val="00CE10C3"/>
    <w:rsid w:val="00CE175A"/>
    <w:rsid w:val="00CE202C"/>
    <w:rsid w:val="00CE2621"/>
    <w:rsid w:val="00CE2E26"/>
    <w:rsid w:val="00CE305E"/>
    <w:rsid w:val="00CE3306"/>
    <w:rsid w:val="00CE39EA"/>
    <w:rsid w:val="00CE4606"/>
    <w:rsid w:val="00CE4670"/>
    <w:rsid w:val="00CE47C4"/>
    <w:rsid w:val="00CE49F8"/>
    <w:rsid w:val="00CE4D53"/>
    <w:rsid w:val="00CE4F50"/>
    <w:rsid w:val="00CE56C8"/>
    <w:rsid w:val="00CE5EE2"/>
    <w:rsid w:val="00CE5F78"/>
    <w:rsid w:val="00CE6446"/>
    <w:rsid w:val="00CE7081"/>
    <w:rsid w:val="00CF027A"/>
    <w:rsid w:val="00CF0579"/>
    <w:rsid w:val="00CF0DA3"/>
    <w:rsid w:val="00CF136A"/>
    <w:rsid w:val="00CF1D2D"/>
    <w:rsid w:val="00CF2908"/>
    <w:rsid w:val="00CF364F"/>
    <w:rsid w:val="00CF403E"/>
    <w:rsid w:val="00CF476B"/>
    <w:rsid w:val="00CF4D39"/>
    <w:rsid w:val="00CF4EC7"/>
    <w:rsid w:val="00CF5216"/>
    <w:rsid w:val="00CF540B"/>
    <w:rsid w:val="00CF5B6E"/>
    <w:rsid w:val="00CF5F61"/>
    <w:rsid w:val="00CF6916"/>
    <w:rsid w:val="00CF6A12"/>
    <w:rsid w:val="00D0023E"/>
    <w:rsid w:val="00D00F6A"/>
    <w:rsid w:val="00D02127"/>
    <w:rsid w:val="00D04016"/>
    <w:rsid w:val="00D0430F"/>
    <w:rsid w:val="00D05306"/>
    <w:rsid w:val="00D056A0"/>
    <w:rsid w:val="00D075A7"/>
    <w:rsid w:val="00D07820"/>
    <w:rsid w:val="00D07825"/>
    <w:rsid w:val="00D07C10"/>
    <w:rsid w:val="00D07CE6"/>
    <w:rsid w:val="00D10428"/>
    <w:rsid w:val="00D11995"/>
    <w:rsid w:val="00D1240A"/>
    <w:rsid w:val="00D126B7"/>
    <w:rsid w:val="00D12713"/>
    <w:rsid w:val="00D134A0"/>
    <w:rsid w:val="00D135C4"/>
    <w:rsid w:val="00D14788"/>
    <w:rsid w:val="00D17FDE"/>
    <w:rsid w:val="00D20586"/>
    <w:rsid w:val="00D206D3"/>
    <w:rsid w:val="00D20E32"/>
    <w:rsid w:val="00D2111D"/>
    <w:rsid w:val="00D2143B"/>
    <w:rsid w:val="00D21A04"/>
    <w:rsid w:val="00D21AF2"/>
    <w:rsid w:val="00D21DD8"/>
    <w:rsid w:val="00D22B23"/>
    <w:rsid w:val="00D22F47"/>
    <w:rsid w:val="00D23880"/>
    <w:rsid w:val="00D238C4"/>
    <w:rsid w:val="00D24AA9"/>
    <w:rsid w:val="00D26622"/>
    <w:rsid w:val="00D26A1C"/>
    <w:rsid w:val="00D26D6D"/>
    <w:rsid w:val="00D27866"/>
    <w:rsid w:val="00D303D5"/>
    <w:rsid w:val="00D3059C"/>
    <w:rsid w:val="00D3108F"/>
    <w:rsid w:val="00D31A68"/>
    <w:rsid w:val="00D333B6"/>
    <w:rsid w:val="00D33545"/>
    <w:rsid w:val="00D33A6E"/>
    <w:rsid w:val="00D3424E"/>
    <w:rsid w:val="00D343E0"/>
    <w:rsid w:val="00D35C05"/>
    <w:rsid w:val="00D3643A"/>
    <w:rsid w:val="00D3652E"/>
    <w:rsid w:val="00D3687A"/>
    <w:rsid w:val="00D3687C"/>
    <w:rsid w:val="00D404E3"/>
    <w:rsid w:val="00D40905"/>
    <w:rsid w:val="00D40DFF"/>
    <w:rsid w:val="00D412A7"/>
    <w:rsid w:val="00D4131E"/>
    <w:rsid w:val="00D41A85"/>
    <w:rsid w:val="00D4232E"/>
    <w:rsid w:val="00D42B22"/>
    <w:rsid w:val="00D4304F"/>
    <w:rsid w:val="00D43A2E"/>
    <w:rsid w:val="00D4403E"/>
    <w:rsid w:val="00D446A6"/>
    <w:rsid w:val="00D4481B"/>
    <w:rsid w:val="00D44831"/>
    <w:rsid w:val="00D45062"/>
    <w:rsid w:val="00D470C1"/>
    <w:rsid w:val="00D472D4"/>
    <w:rsid w:val="00D47858"/>
    <w:rsid w:val="00D5076B"/>
    <w:rsid w:val="00D52E84"/>
    <w:rsid w:val="00D53AF2"/>
    <w:rsid w:val="00D53CC6"/>
    <w:rsid w:val="00D54592"/>
    <w:rsid w:val="00D550B4"/>
    <w:rsid w:val="00D5584A"/>
    <w:rsid w:val="00D55EDB"/>
    <w:rsid w:val="00D561C4"/>
    <w:rsid w:val="00D57DDA"/>
    <w:rsid w:val="00D60BA7"/>
    <w:rsid w:val="00D60FC8"/>
    <w:rsid w:val="00D61927"/>
    <w:rsid w:val="00D637AA"/>
    <w:rsid w:val="00D637F6"/>
    <w:rsid w:val="00D642F9"/>
    <w:rsid w:val="00D6467D"/>
    <w:rsid w:val="00D64773"/>
    <w:rsid w:val="00D660EB"/>
    <w:rsid w:val="00D675B8"/>
    <w:rsid w:val="00D678A4"/>
    <w:rsid w:val="00D70648"/>
    <w:rsid w:val="00D71195"/>
    <w:rsid w:val="00D71272"/>
    <w:rsid w:val="00D7163F"/>
    <w:rsid w:val="00D7178B"/>
    <w:rsid w:val="00D718C8"/>
    <w:rsid w:val="00D71D08"/>
    <w:rsid w:val="00D726DB"/>
    <w:rsid w:val="00D72F27"/>
    <w:rsid w:val="00D72FC7"/>
    <w:rsid w:val="00D733E0"/>
    <w:rsid w:val="00D7450B"/>
    <w:rsid w:val="00D74DD9"/>
    <w:rsid w:val="00D76663"/>
    <w:rsid w:val="00D76C7F"/>
    <w:rsid w:val="00D76DBD"/>
    <w:rsid w:val="00D77A24"/>
    <w:rsid w:val="00D80773"/>
    <w:rsid w:val="00D80BDD"/>
    <w:rsid w:val="00D81362"/>
    <w:rsid w:val="00D817C3"/>
    <w:rsid w:val="00D817F4"/>
    <w:rsid w:val="00D81906"/>
    <w:rsid w:val="00D8326A"/>
    <w:rsid w:val="00D84DDD"/>
    <w:rsid w:val="00D85B9A"/>
    <w:rsid w:val="00D86CDC"/>
    <w:rsid w:val="00D86CFB"/>
    <w:rsid w:val="00D86E1C"/>
    <w:rsid w:val="00D87D67"/>
    <w:rsid w:val="00D901AB"/>
    <w:rsid w:val="00D90766"/>
    <w:rsid w:val="00D907AE"/>
    <w:rsid w:val="00D90C78"/>
    <w:rsid w:val="00D90D83"/>
    <w:rsid w:val="00D90EAE"/>
    <w:rsid w:val="00D91AC7"/>
    <w:rsid w:val="00D923B8"/>
    <w:rsid w:val="00D937AB"/>
    <w:rsid w:val="00D93D36"/>
    <w:rsid w:val="00D940F0"/>
    <w:rsid w:val="00D94A3B"/>
    <w:rsid w:val="00D94A7E"/>
    <w:rsid w:val="00D94BCF"/>
    <w:rsid w:val="00D95105"/>
    <w:rsid w:val="00D952E6"/>
    <w:rsid w:val="00D96028"/>
    <w:rsid w:val="00D96AE5"/>
    <w:rsid w:val="00D97C5E"/>
    <w:rsid w:val="00DA01A3"/>
    <w:rsid w:val="00DA0249"/>
    <w:rsid w:val="00DA02BA"/>
    <w:rsid w:val="00DA149D"/>
    <w:rsid w:val="00DA14E1"/>
    <w:rsid w:val="00DA1BA3"/>
    <w:rsid w:val="00DA1DFB"/>
    <w:rsid w:val="00DA22B1"/>
    <w:rsid w:val="00DA23F1"/>
    <w:rsid w:val="00DA249D"/>
    <w:rsid w:val="00DA3240"/>
    <w:rsid w:val="00DA3C7C"/>
    <w:rsid w:val="00DA3D63"/>
    <w:rsid w:val="00DA47EE"/>
    <w:rsid w:val="00DA48B1"/>
    <w:rsid w:val="00DA55B2"/>
    <w:rsid w:val="00DA55FD"/>
    <w:rsid w:val="00DA6133"/>
    <w:rsid w:val="00DA6367"/>
    <w:rsid w:val="00DA724F"/>
    <w:rsid w:val="00DB1154"/>
    <w:rsid w:val="00DB11D5"/>
    <w:rsid w:val="00DB13B5"/>
    <w:rsid w:val="00DB1B1D"/>
    <w:rsid w:val="00DB2448"/>
    <w:rsid w:val="00DB288E"/>
    <w:rsid w:val="00DB2FB3"/>
    <w:rsid w:val="00DB3098"/>
    <w:rsid w:val="00DB32CC"/>
    <w:rsid w:val="00DB7269"/>
    <w:rsid w:val="00DB7486"/>
    <w:rsid w:val="00DB75DB"/>
    <w:rsid w:val="00DB76A4"/>
    <w:rsid w:val="00DB777B"/>
    <w:rsid w:val="00DB792C"/>
    <w:rsid w:val="00DC019C"/>
    <w:rsid w:val="00DC022E"/>
    <w:rsid w:val="00DC0629"/>
    <w:rsid w:val="00DC08E9"/>
    <w:rsid w:val="00DC1546"/>
    <w:rsid w:val="00DC1CDA"/>
    <w:rsid w:val="00DC243A"/>
    <w:rsid w:val="00DC38CA"/>
    <w:rsid w:val="00DC4BC3"/>
    <w:rsid w:val="00DC58B4"/>
    <w:rsid w:val="00DC7132"/>
    <w:rsid w:val="00DC7A64"/>
    <w:rsid w:val="00DD0001"/>
    <w:rsid w:val="00DD0235"/>
    <w:rsid w:val="00DD04C0"/>
    <w:rsid w:val="00DD09ED"/>
    <w:rsid w:val="00DD0BE5"/>
    <w:rsid w:val="00DD0E51"/>
    <w:rsid w:val="00DD1101"/>
    <w:rsid w:val="00DD1A20"/>
    <w:rsid w:val="00DD1C9F"/>
    <w:rsid w:val="00DD1ECD"/>
    <w:rsid w:val="00DD1F5E"/>
    <w:rsid w:val="00DD2370"/>
    <w:rsid w:val="00DD2997"/>
    <w:rsid w:val="00DD2DF2"/>
    <w:rsid w:val="00DD3338"/>
    <w:rsid w:val="00DD48E2"/>
    <w:rsid w:val="00DD4C7F"/>
    <w:rsid w:val="00DD5163"/>
    <w:rsid w:val="00DD5AA3"/>
    <w:rsid w:val="00DD6B61"/>
    <w:rsid w:val="00DD7BCC"/>
    <w:rsid w:val="00DD7CED"/>
    <w:rsid w:val="00DD7E33"/>
    <w:rsid w:val="00DD7FF7"/>
    <w:rsid w:val="00DE0730"/>
    <w:rsid w:val="00DE3643"/>
    <w:rsid w:val="00DE5541"/>
    <w:rsid w:val="00DE6153"/>
    <w:rsid w:val="00DE7ADD"/>
    <w:rsid w:val="00DF00D3"/>
    <w:rsid w:val="00DF0335"/>
    <w:rsid w:val="00DF065F"/>
    <w:rsid w:val="00DF076C"/>
    <w:rsid w:val="00DF09F2"/>
    <w:rsid w:val="00DF0E4F"/>
    <w:rsid w:val="00DF12E9"/>
    <w:rsid w:val="00DF2EA2"/>
    <w:rsid w:val="00DF36C8"/>
    <w:rsid w:val="00DF4764"/>
    <w:rsid w:val="00DF4F0F"/>
    <w:rsid w:val="00DF55A8"/>
    <w:rsid w:val="00DF5A11"/>
    <w:rsid w:val="00DF610F"/>
    <w:rsid w:val="00DF70CD"/>
    <w:rsid w:val="00DF790F"/>
    <w:rsid w:val="00E00490"/>
    <w:rsid w:val="00E01633"/>
    <w:rsid w:val="00E01FB1"/>
    <w:rsid w:val="00E02322"/>
    <w:rsid w:val="00E03380"/>
    <w:rsid w:val="00E03C2E"/>
    <w:rsid w:val="00E03DC9"/>
    <w:rsid w:val="00E04F46"/>
    <w:rsid w:val="00E050CF"/>
    <w:rsid w:val="00E05403"/>
    <w:rsid w:val="00E05F95"/>
    <w:rsid w:val="00E05FE4"/>
    <w:rsid w:val="00E06AB1"/>
    <w:rsid w:val="00E06C11"/>
    <w:rsid w:val="00E06C74"/>
    <w:rsid w:val="00E078A0"/>
    <w:rsid w:val="00E100A5"/>
    <w:rsid w:val="00E10232"/>
    <w:rsid w:val="00E10914"/>
    <w:rsid w:val="00E10B4D"/>
    <w:rsid w:val="00E10E88"/>
    <w:rsid w:val="00E11ADC"/>
    <w:rsid w:val="00E12B4A"/>
    <w:rsid w:val="00E133A2"/>
    <w:rsid w:val="00E155E7"/>
    <w:rsid w:val="00E1599B"/>
    <w:rsid w:val="00E15B25"/>
    <w:rsid w:val="00E165C3"/>
    <w:rsid w:val="00E16EA5"/>
    <w:rsid w:val="00E17673"/>
    <w:rsid w:val="00E17CC9"/>
    <w:rsid w:val="00E2005E"/>
    <w:rsid w:val="00E20297"/>
    <w:rsid w:val="00E20690"/>
    <w:rsid w:val="00E210D9"/>
    <w:rsid w:val="00E21553"/>
    <w:rsid w:val="00E2162A"/>
    <w:rsid w:val="00E21E11"/>
    <w:rsid w:val="00E2276A"/>
    <w:rsid w:val="00E23772"/>
    <w:rsid w:val="00E238F5"/>
    <w:rsid w:val="00E24039"/>
    <w:rsid w:val="00E24345"/>
    <w:rsid w:val="00E2581B"/>
    <w:rsid w:val="00E26548"/>
    <w:rsid w:val="00E26671"/>
    <w:rsid w:val="00E271DF"/>
    <w:rsid w:val="00E30317"/>
    <w:rsid w:val="00E309C3"/>
    <w:rsid w:val="00E30D02"/>
    <w:rsid w:val="00E310CF"/>
    <w:rsid w:val="00E312B0"/>
    <w:rsid w:val="00E32480"/>
    <w:rsid w:val="00E32D07"/>
    <w:rsid w:val="00E33BB9"/>
    <w:rsid w:val="00E34B6C"/>
    <w:rsid w:val="00E35772"/>
    <w:rsid w:val="00E35E40"/>
    <w:rsid w:val="00E36146"/>
    <w:rsid w:val="00E364DD"/>
    <w:rsid w:val="00E366C8"/>
    <w:rsid w:val="00E36DDA"/>
    <w:rsid w:val="00E37030"/>
    <w:rsid w:val="00E3729D"/>
    <w:rsid w:val="00E41C78"/>
    <w:rsid w:val="00E4231B"/>
    <w:rsid w:val="00E427E7"/>
    <w:rsid w:val="00E4289D"/>
    <w:rsid w:val="00E42A3B"/>
    <w:rsid w:val="00E42C76"/>
    <w:rsid w:val="00E43806"/>
    <w:rsid w:val="00E44052"/>
    <w:rsid w:val="00E4427D"/>
    <w:rsid w:val="00E44740"/>
    <w:rsid w:val="00E44784"/>
    <w:rsid w:val="00E4511B"/>
    <w:rsid w:val="00E45563"/>
    <w:rsid w:val="00E45CC5"/>
    <w:rsid w:val="00E4617F"/>
    <w:rsid w:val="00E467FB"/>
    <w:rsid w:val="00E46927"/>
    <w:rsid w:val="00E46D12"/>
    <w:rsid w:val="00E47232"/>
    <w:rsid w:val="00E47993"/>
    <w:rsid w:val="00E502C6"/>
    <w:rsid w:val="00E51361"/>
    <w:rsid w:val="00E515AD"/>
    <w:rsid w:val="00E5232C"/>
    <w:rsid w:val="00E52EB2"/>
    <w:rsid w:val="00E54875"/>
    <w:rsid w:val="00E54AEB"/>
    <w:rsid w:val="00E55154"/>
    <w:rsid w:val="00E5576B"/>
    <w:rsid w:val="00E5582B"/>
    <w:rsid w:val="00E56305"/>
    <w:rsid w:val="00E56734"/>
    <w:rsid w:val="00E56759"/>
    <w:rsid w:val="00E57163"/>
    <w:rsid w:val="00E5768A"/>
    <w:rsid w:val="00E576B9"/>
    <w:rsid w:val="00E57986"/>
    <w:rsid w:val="00E57F32"/>
    <w:rsid w:val="00E6064D"/>
    <w:rsid w:val="00E61BE8"/>
    <w:rsid w:val="00E62E2A"/>
    <w:rsid w:val="00E62FB9"/>
    <w:rsid w:val="00E63041"/>
    <w:rsid w:val="00E64944"/>
    <w:rsid w:val="00E64DD2"/>
    <w:rsid w:val="00E652DD"/>
    <w:rsid w:val="00E6743E"/>
    <w:rsid w:val="00E6766E"/>
    <w:rsid w:val="00E676DA"/>
    <w:rsid w:val="00E67B87"/>
    <w:rsid w:val="00E70974"/>
    <w:rsid w:val="00E70B48"/>
    <w:rsid w:val="00E716A2"/>
    <w:rsid w:val="00E731FF"/>
    <w:rsid w:val="00E73E26"/>
    <w:rsid w:val="00E741B0"/>
    <w:rsid w:val="00E75359"/>
    <w:rsid w:val="00E7543B"/>
    <w:rsid w:val="00E76B3E"/>
    <w:rsid w:val="00E77091"/>
    <w:rsid w:val="00E80138"/>
    <w:rsid w:val="00E819E6"/>
    <w:rsid w:val="00E81D6D"/>
    <w:rsid w:val="00E825BD"/>
    <w:rsid w:val="00E827B9"/>
    <w:rsid w:val="00E83834"/>
    <w:rsid w:val="00E8468F"/>
    <w:rsid w:val="00E85365"/>
    <w:rsid w:val="00E858DB"/>
    <w:rsid w:val="00E85E2E"/>
    <w:rsid w:val="00E864FE"/>
    <w:rsid w:val="00E86B85"/>
    <w:rsid w:val="00E86DD5"/>
    <w:rsid w:val="00E86E6F"/>
    <w:rsid w:val="00E90C58"/>
    <w:rsid w:val="00E911DB"/>
    <w:rsid w:val="00E91651"/>
    <w:rsid w:val="00E91F8B"/>
    <w:rsid w:val="00E9237B"/>
    <w:rsid w:val="00E93862"/>
    <w:rsid w:val="00E93BD1"/>
    <w:rsid w:val="00E94B2C"/>
    <w:rsid w:val="00E953FF"/>
    <w:rsid w:val="00E95A07"/>
    <w:rsid w:val="00E95A99"/>
    <w:rsid w:val="00E97000"/>
    <w:rsid w:val="00EA1752"/>
    <w:rsid w:val="00EA253F"/>
    <w:rsid w:val="00EA5043"/>
    <w:rsid w:val="00EA6972"/>
    <w:rsid w:val="00EB0A24"/>
    <w:rsid w:val="00EB1193"/>
    <w:rsid w:val="00EB1521"/>
    <w:rsid w:val="00EB1B6E"/>
    <w:rsid w:val="00EB26CD"/>
    <w:rsid w:val="00EB2DEC"/>
    <w:rsid w:val="00EB2E83"/>
    <w:rsid w:val="00EB2E9A"/>
    <w:rsid w:val="00EB3224"/>
    <w:rsid w:val="00EB41BF"/>
    <w:rsid w:val="00EB4B3B"/>
    <w:rsid w:val="00EB5747"/>
    <w:rsid w:val="00EB65C0"/>
    <w:rsid w:val="00EB6D4C"/>
    <w:rsid w:val="00EC0B12"/>
    <w:rsid w:val="00EC0B56"/>
    <w:rsid w:val="00EC207A"/>
    <w:rsid w:val="00EC2157"/>
    <w:rsid w:val="00EC249F"/>
    <w:rsid w:val="00EC28DB"/>
    <w:rsid w:val="00EC3194"/>
    <w:rsid w:val="00EC43EA"/>
    <w:rsid w:val="00EC45CA"/>
    <w:rsid w:val="00EC4A54"/>
    <w:rsid w:val="00EC68F9"/>
    <w:rsid w:val="00EC7170"/>
    <w:rsid w:val="00EC7A8C"/>
    <w:rsid w:val="00ED0CEC"/>
    <w:rsid w:val="00ED1450"/>
    <w:rsid w:val="00ED174A"/>
    <w:rsid w:val="00ED1C00"/>
    <w:rsid w:val="00ED1CC9"/>
    <w:rsid w:val="00ED1F85"/>
    <w:rsid w:val="00ED3599"/>
    <w:rsid w:val="00ED39F1"/>
    <w:rsid w:val="00ED4656"/>
    <w:rsid w:val="00ED46DB"/>
    <w:rsid w:val="00ED6A4C"/>
    <w:rsid w:val="00EE1202"/>
    <w:rsid w:val="00EE1C68"/>
    <w:rsid w:val="00EE1F27"/>
    <w:rsid w:val="00EE21F7"/>
    <w:rsid w:val="00EE26DC"/>
    <w:rsid w:val="00EE4886"/>
    <w:rsid w:val="00EE4B08"/>
    <w:rsid w:val="00EE4D5B"/>
    <w:rsid w:val="00EE503B"/>
    <w:rsid w:val="00EE5185"/>
    <w:rsid w:val="00EE56DB"/>
    <w:rsid w:val="00EE570E"/>
    <w:rsid w:val="00EE6C44"/>
    <w:rsid w:val="00EE798B"/>
    <w:rsid w:val="00EE7FD1"/>
    <w:rsid w:val="00EF12A8"/>
    <w:rsid w:val="00EF3C76"/>
    <w:rsid w:val="00EF49BE"/>
    <w:rsid w:val="00EF4DDA"/>
    <w:rsid w:val="00EF4FB3"/>
    <w:rsid w:val="00EF5B6D"/>
    <w:rsid w:val="00EF6019"/>
    <w:rsid w:val="00EF60FD"/>
    <w:rsid w:val="00EF67CA"/>
    <w:rsid w:val="00F006EA"/>
    <w:rsid w:val="00F024F0"/>
    <w:rsid w:val="00F02C3D"/>
    <w:rsid w:val="00F0410E"/>
    <w:rsid w:val="00F05C7A"/>
    <w:rsid w:val="00F113AC"/>
    <w:rsid w:val="00F114FC"/>
    <w:rsid w:val="00F1176A"/>
    <w:rsid w:val="00F11C4E"/>
    <w:rsid w:val="00F11ED4"/>
    <w:rsid w:val="00F1208B"/>
    <w:rsid w:val="00F120CF"/>
    <w:rsid w:val="00F12C61"/>
    <w:rsid w:val="00F12EF1"/>
    <w:rsid w:val="00F13369"/>
    <w:rsid w:val="00F14491"/>
    <w:rsid w:val="00F15ADC"/>
    <w:rsid w:val="00F15F94"/>
    <w:rsid w:val="00F16460"/>
    <w:rsid w:val="00F164FF"/>
    <w:rsid w:val="00F166F1"/>
    <w:rsid w:val="00F17720"/>
    <w:rsid w:val="00F205B9"/>
    <w:rsid w:val="00F20D63"/>
    <w:rsid w:val="00F20D77"/>
    <w:rsid w:val="00F212E2"/>
    <w:rsid w:val="00F21F52"/>
    <w:rsid w:val="00F225A0"/>
    <w:rsid w:val="00F22DE6"/>
    <w:rsid w:val="00F23327"/>
    <w:rsid w:val="00F24B34"/>
    <w:rsid w:val="00F24FC4"/>
    <w:rsid w:val="00F25950"/>
    <w:rsid w:val="00F25CC8"/>
    <w:rsid w:val="00F26595"/>
    <w:rsid w:val="00F26C5D"/>
    <w:rsid w:val="00F26DF4"/>
    <w:rsid w:val="00F2722B"/>
    <w:rsid w:val="00F27CD9"/>
    <w:rsid w:val="00F27EAE"/>
    <w:rsid w:val="00F3232D"/>
    <w:rsid w:val="00F3374B"/>
    <w:rsid w:val="00F33E6C"/>
    <w:rsid w:val="00F34277"/>
    <w:rsid w:val="00F364E4"/>
    <w:rsid w:val="00F36804"/>
    <w:rsid w:val="00F36B20"/>
    <w:rsid w:val="00F41434"/>
    <w:rsid w:val="00F42060"/>
    <w:rsid w:val="00F42208"/>
    <w:rsid w:val="00F42991"/>
    <w:rsid w:val="00F42997"/>
    <w:rsid w:val="00F42D18"/>
    <w:rsid w:val="00F43941"/>
    <w:rsid w:val="00F43B6A"/>
    <w:rsid w:val="00F43E1F"/>
    <w:rsid w:val="00F43E38"/>
    <w:rsid w:val="00F45408"/>
    <w:rsid w:val="00F45453"/>
    <w:rsid w:val="00F46617"/>
    <w:rsid w:val="00F46AA4"/>
    <w:rsid w:val="00F477B2"/>
    <w:rsid w:val="00F47B1C"/>
    <w:rsid w:val="00F47F64"/>
    <w:rsid w:val="00F50918"/>
    <w:rsid w:val="00F50C68"/>
    <w:rsid w:val="00F512BF"/>
    <w:rsid w:val="00F52349"/>
    <w:rsid w:val="00F5243A"/>
    <w:rsid w:val="00F52860"/>
    <w:rsid w:val="00F529B4"/>
    <w:rsid w:val="00F52CF5"/>
    <w:rsid w:val="00F53F48"/>
    <w:rsid w:val="00F54400"/>
    <w:rsid w:val="00F5489C"/>
    <w:rsid w:val="00F5493F"/>
    <w:rsid w:val="00F5586B"/>
    <w:rsid w:val="00F55FE9"/>
    <w:rsid w:val="00F56422"/>
    <w:rsid w:val="00F56785"/>
    <w:rsid w:val="00F602B3"/>
    <w:rsid w:val="00F60537"/>
    <w:rsid w:val="00F607CA"/>
    <w:rsid w:val="00F60F04"/>
    <w:rsid w:val="00F61349"/>
    <w:rsid w:val="00F61A96"/>
    <w:rsid w:val="00F62248"/>
    <w:rsid w:val="00F62F51"/>
    <w:rsid w:val="00F636DE"/>
    <w:rsid w:val="00F641C7"/>
    <w:rsid w:val="00F644D6"/>
    <w:rsid w:val="00F645AE"/>
    <w:rsid w:val="00F65C62"/>
    <w:rsid w:val="00F66CDE"/>
    <w:rsid w:val="00F67901"/>
    <w:rsid w:val="00F6792B"/>
    <w:rsid w:val="00F67A6B"/>
    <w:rsid w:val="00F70147"/>
    <w:rsid w:val="00F70C1A"/>
    <w:rsid w:val="00F72A89"/>
    <w:rsid w:val="00F73140"/>
    <w:rsid w:val="00F739C8"/>
    <w:rsid w:val="00F74B86"/>
    <w:rsid w:val="00F76F53"/>
    <w:rsid w:val="00F80C96"/>
    <w:rsid w:val="00F8176B"/>
    <w:rsid w:val="00F81B7A"/>
    <w:rsid w:val="00F81DF9"/>
    <w:rsid w:val="00F82E7C"/>
    <w:rsid w:val="00F83BF0"/>
    <w:rsid w:val="00F83E30"/>
    <w:rsid w:val="00F848EC"/>
    <w:rsid w:val="00F859B0"/>
    <w:rsid w:val="00F859D2"/>
    <w:rsid w:val="00F85C6F"/>
    <w:rsid w:val="00F86802"/>
    <w:rsid w:val="00F86897"/>
    <w:rsid w:val="00F869FA"/>
    <w:rsid w:val="00F86EC9"/>
    <w:rsid w:val="00F87584"/>
    <w:rsid w:val="00F90EA2"/>
    <w:rsid w:val="00F9117B"/>
    <w:rsid w:val="00F91A23"/>
    <w:rsid w:val="00F926E0"/>
    <w:rsid w:val="00F93F0D"/>
    <w:rsid w:val="00F94B94"/>
    <w:rsid w:val="00F95010"/>
    <w:rsid w:val="00F95CC3"/>
    <w:rsid w:val="00F95CEE"/>
    <w:rsid w:val="00F95E1A"/>
    <w:rsid w:val="00F9674A"/>
    <w:rsid w:val="00F9711F"/>
    <w:rsid w:val="00FA06B3"/>
    <w:rsid w:val="00FA0C23"/>
    <w:rsid w:val="00FA1536"/>
    <w:rsid w:val="00FA1F00"/>
    <w:rsid w:val="00FA26E6"/>
    <w:rsid w:val="00FA2B06"/>
    <w:rsid w:val="00FA3376"/>
    <w:rsid w:val="00FA5042"/>
    <w:rsid w:val="00FA5967"/>
    <w:rsid w:val="00FA5BCF"/>
    <w:rsid w:val="00FA6822"/>
    <w:rsid w:val="00FA6F51"/>
    <w:rsid w:val="00FA6F64"/>
    <w:rsid w:val="00FA74FC"/>
    <w:rsid w:val="00FA7661"/>
    <w:rsid w:val="00FA7806"/>
    <w:rsid w:val="00FB120F"/>
    <w:rsid w:val="00FB17B3"/>
    <w:rsid w:val="00FB1FDE"/>
    <w:rsid w:val="00FB2EF5"/>
    <w:rsid w:val="00FB325C"/>
    <w:rsid w:val="00FB44B9"/>
    <w:rsid w:val="00FB4607"/>
    <w:rsid w:val="00FB525F"/>
    <w:rsid w:val="00FB65F7"/>
    <w:rsid w:val="00FB67F7"/>
    <w:rsid w:val="00FB7161"/>
    <w:rsid w:val="00FB7239"/>
    <w:rsid w:val="00FB7860"/>
    <w:rsid w:val="00FB7F63"/>
    <w:rsid w:val="00FC07D2"/>
    <w:rsid w:val="00FC1371"/>
    <w:rsid w:val="00FC1505"/>
    <w:rsid w:val="00FC1F46"/>
    <w:rsid w:val="00FC2E4E"/>
    <w:rsid w:val="00FC4BBB"/>
    <w:rsid w:val="00FC5D02"/>
    <w:rsid w:val="00FC72AD"/>
    <w:rsid w:val="00FC7857"/>
    <w:rsid w:val="00FD05C8"/>
    <w:rsid w:val="00FD075A"/>
    <w:rsid w:val="00FD4531"/>
    <w:rsid w:val="00FD4E40"/>
    <w:rsid w:val="00FD5080"/>
    <w:rsid w:val="00FD557C"/>
    <w:rsid w:val="00FD57DA"/>
    <w:rsid w:val="00FD6020"/>
    <w:rsid w:val="00FD6230"/>
    <w:rsid w:val="00FD6A18"/>
    <w:rsid w:val="00FD6F04"/>
    <w:rsid w:val="00FE0080"/>
    <w:rsid w:val="00FE0602"/>
    <w:rsid w:val="00FE0870"/>
    <w:rsid w:val="00FE1B94"/>
    <w:rsid w:val="00FE1FB6"/>
    <w:rsid w:val="00FE1FC5"/>
    <w:rsid w:val="00FE34C3"/>
    <w:rsid w:val="00FE4289"/>
    <w:rsid w:val="00FE45CE"/>
    <w:rsid w:val="00FE558C"/>
    <w:rsid w:val="00FE571C"/>
    <w:rsid w:val="00FE5920"/>
    <w:rsid w:val="00FE5DA9"/>
    <w:rsid w:val="00FE649F"/>
    <w:rsid w:val="00FE6AEA"/>
    <w:rsid w:val="00FE6EF0"/>
    <w:rsid w:val="00FE7A09"/>
    <w:rsid w:val="00FE7CE7"/>
    <w:rsid w:val="00FE7F49"/>
    <w:rsid w:val="00FF1493"/>
    <w:rsid w:val="00FF14AB"/>
    <w:rsid w:val="00FF2C90"/>
    <w:rsid w:val="00FF3291"/>
    <w:rsid w:val="00FF3C76"/>
    <w:rsid w:val="00FF3D6D"/>
    <w:rsid w:val="00FF491C"/>
    <w:rsid w:val="00FF5CD6"/>
    <w:rsid w:val="00FF684D"/>
    <w:rsid w:val="00FF7941"/>
    <w:rsid w:val="02757C52"/>
    <w:rsid w:val="02FC9C8B"/>
    <w:rsid w:val="03A8C780"/>
    <w:rsid w:val="03C56558"/>
    <w:rsid w:val="03FF85DB"/>
    <w:rsid w:val="04860D1E"/>
    <w:rsid w:val="050E93E2"/>
    <w:rsid w:val="05359911"/>
    <w:rsid w:val="053995EB"/>
    <w:rsid w:val="0596C2D1"/>
    <w:rsid w:val="05B1E350"/>
    <w:rsid w:val="06482E21"/>
    <w:rsid w:val="09A31933"/>
    <w:rsid w:val="0A71D2C9"/>
    <w:rsid w:val="0BF55563"/>
    <w:rsid w:val="0D10B903"/>
    <w:rsid w:val="0DE3FD8B"/>
    <w:rsid w:val="0F33E691"/>
    <w:rsid w:val="0FC62169"/>
    <w:rsid w:val="110DBD75"/>
    <w:rsid w:val="117EC05F"/>
    <w:rsid w:val="11E4D551"/>
    <w:rsid w:val="126AEFDB"/>
    <w:rsid w:val="12F573DC"/>
    <w:rsid w:val="132FEFC3"/>
    <w:rsid w:val="13B126CD"/>
    <w:rsid w:val="14C109B5"/>
    <w:rsid w:val="159E3B5E"/>
    <w:rsid w:val="15E3324D"/>
    <w:rsid w:val="16909214"/>
    <w:rsid w:val="16ACEB3C"/>
    <w:rsid w:val="16D64ECF"/>
    <w:rsid w:val="16DD10E7"/>
    <w:rsid w:val="18520796"/>
    <w:rsid w:val="190C7072"/>
    <w:rsid w:val="19A98CF5"/>
    <w:rsid w:val="1A853EA0"/>
    <w:rsid w:val="1AE54599"/>
    <w:rsid w:val="1B5B89CC"/>
    <w:rsid w:val="1D95781E"/>
    <w:rsid w:val="1EA43BAD"/>
    <w:rsid w:val="1F2E85F8"/>
    <w:rsid w:val="1F41A370"/>
    <w:rsid w:val="1F66F426"/>
    <w:rsid w:val="2145FDBD"/>
    <w:rsid w:val="21472CAD"/>
    <w:rsid w:val="2256B150"/>
    <w:rsid w:val="228A546F"/>
    <w:rsid w:val="2292293A"/>
    <w:rsid w:val="2321FED1"/>
    <w:rsid w:val="25C79259"/>
    <w:rsid w:val="2601E5AD"/>
    <w:rsid w:val="2611E6FC"/>
    <w:rsid w:val="272E2F84"/>
    <w:rsid w:val="28E8D8D8"/>
    <w:rsid w:val="29C496CB"/>
    <w:rsid w:val="2A631B16"/>
    <w:rsid w:val="2BB81474"/>
    <w:rsid w:val="2E4DB844"/>
    <w:rsid w:val="2F68F070"/>
    <w:rsid w:val="2FA69151"/>
    <w:rsid w:val="32689609"/>
    <w:rsid w:val="357F08D7"/>
    <w:rsid w:val="38CD93E7"/>
    <w:rsid w:val="392BBCBB"/>
    <w:rsid w:val="3998B066"/>
    <w:rsid w:val="39FCD713"/>
    <w:rsid w:val="39FF0143"/>
    <w:rsid w:val="3A2F26EE"/>
    <w:rsid w:val="3A3ECD40"/>
    <w:rsid w:val="3B17178D"/>
    <w:rsid w:val="3D33E05D"/>
    <w:rsid w:val="40C2D1F1"/>
    <w:rsid w:val="40CCDA74"/>
    <w:rsid w:val="40E78E25"/>
    <w:rsid w:val="41877C37"/>
    <w:rsid w:val="4444AD13"/>
    <w:rsid w:val="461D0137"/>
    <w:rsid w:val="47061534"/>
    <w:rsid w:val="4963FD03"/>
    <w:rsid w:val="49662733"/>
    <w:rsid w:val="4A03EB15"/>
    <w:rsid w:val="4A205808"/>
    <w:rsid w:val="4A699166"/>
    <w:rsid w:val="4AEC25F2"/>
    <w:rsid w:val="4C856E7D"/>
    <w:rsid w:val="4C8B04FE"/>
    <w:rsid w:val="4C91AB7E"/>
    <w:rsid w:val="4CA64472"/>
    <w:rsid w:val="4FE80FCB"/>
    <w:rsid w:val="500694FD"/>
    <w:rsid w:val="5097849A"/>
    <w:rsid w:val="50E40744"/>
    <w:rsid w:val="5144481B"/>
    <w:rsid w:val="5199C4DE"/>
    <w:rsid w:val="52998171"/>
    <w:rsid w:val="52BB0677"/>
    <w:rsid w:val="532D9CF8"/>
    <w:rsid w:val="56E2D014"/>
    <w:rsid w:val="56F14C0F"/>
    <w:rsid w:val="58885634"/>
    <w:rsid w:val="58CA24FA"/>
    <w:rsid w:val="593F6AE2"/>
    <w:rsid w:val="5DD3D761"/>
    <w:rsid w:val="5F6FE51D"/>
    <w:rsid w:val="606A7F2A"/>
    <w:rsid w:val="6317F151"/>
    <w:rsid w:val="63815D1D"/>
    <w:rsid w:val="652167AC"/>
    <w:rsid w:val="69039432"/>
    <w:rsid w:val="69EA095C"/>
    <w:rsid w:val="6B71DFCD"/>
    <w:rsid w:val="6E0A3B4E"/>
    <w:rsid w:val="6E9AD2C6"/>
    <w:rsid w:val="6EE08722"/>
    <w:rsid w:val="6F9BC0ED"/>
    <w:rsid w:val="702211F4"/>
    <w:rsid w:val="720232BB"/>
    <w:rsid w:val="732C0B3B"/>
    <w:rsid w:val="760D1C7E"/>
    <w:rsid w:val="768693B3"/>
    <w:rsid w:val="77001119"/>
    <w:rsid w:val="783DB3F1"/>
    <w:rsid w:val="792A28A6"/>
    <w:rsid w:val="79A19A7C"/>
    <w:rsid w:val="7B48F679"/>
    <w:rsid w:val="7F265D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147E"/>
  <w15:chartTrackingRefBased/>
  <w15:docId w15:val="{32804EE1-0E99-4961-A9AD-B83B55F6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6865"/>
    <w:pPr>
      <w:jc w:val="center"/>
      <w:outlineLvl w:val="0"/>
    </w:pPr>
    <w:rPr>
      <w:rFonts w:ascii="Arial" w:hAnsi="Arial" w:cs="Arial"/>
      <w:b/>
      <w:sz w:val="54"/>
      <w:szCs w:val="54"/>
    </w:rPr>
  </w:style>
  <w:style w:type="paragraph" w:styleId="Heading2">
    <w:name w:val="heading 2"/>
    <w:basedOn w:val="ListParagraph"/>
    <w:next w:val="Normal"/>
    <w:link w:val="Heading2Char"/>
    <w:uiPriority w:val="9"/>
    <w:unhideWhenUsed/>
    <w:qFormat/>
    <w:rsid w:val="00BC6865"/>
    <w:pPr>
      <w:numPr>
        <w:numId w:val="4"/>
      </w:numPr>
      <w:ind w:hanging="720"/>
      <w:outlineLvl w:val="1"/>
    </w:pPr>
    <w:rPr>
      <w:rFonts w:ascii="Arial" w:hAnsi="Arial" w:cs="Arial"/>
      <w:b/>
      <w:sz w:val="28"/>
      <w:szCs w:val="28"/>
    </w:rPr>
  </w:style>
  <w:style w:type="paragraph" w:styleId="Heading3">
    <w:name w:val="heading 3"/>
    <w:basedOn w:val="Heading2"/>
    <w:next w:val="Normal"/>
    <w:link w:val="Heading3Char"/>
    <w:uiPriority w:val="9"/>
    <w:unhideWhenUsed/>
    <w:qFormat/>
    <w:rsid w:val="00BC6865"/>
    <w:pPr>
      <w:numPr>
        <w:numId w:val="0"/>
      </w:numPr>
      <w:outlineLvl w:val="2"/>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link w:val="ListParagraphChar"/>
    <w:uiPriority w:val="34"/>
    <w:qFormat/>
    <w:rsid w:val="00901244"/>
    <w:pPr>
      <w:ind w:left="720"/>
      <w:contextualSpacing/>
    </w:pPr>
  </w:style>
  <w:style w:type="character" w:styleId="Hyperlink">
    <w:name w:val="Hyperlink"/>
    <w:basedOn w:val="DefaultParagraphFont"/>
    <w:uiPriority w:val="99"/>
    <w:unhideWhenUsed/>
    <w:rsid w:val="00901244"/>
    <w:rPr>
      <w:color w:val="0563C1" w:themeColor="hyperlink"/>
      <w:u w:val="single"/>
    </w:rPr>
  </w:style>
  <w:style w:type="paragraph" w:styleId="NormalWeb">
    <w:name w:val="Normal (Web)"/>
    <w:basedOn w:val="Normal"/>
    <w:uiPriority w:val="99"/>
    <w:unhideWhenUsed/>
    <w:rsid w:val="00901244"/>
    <w:pPr>
      <w:spacing w:before="100" w:beforeAutospacing="1" w:after="100" w:afterAutospacing="1"/>
    </w:pPr>
    <w:rPr>
      <w:rFonts w:eastAsia="Calibri"/>
      <w:lang w:eastAsia="en-GB"/>
    </w:rPr>
  </w:style>
  <w:style w:type="character" w:styleId="UnresolvedMention">
    <w:name w:val="Unresolved Mention"/>
    <w:basedOn w:val="DefaultParagraphFont"/>
    <w:uiPriority w:val="99"/>
    <w:unhideWhenUsed/>
    <w:rsid w:val="00831C40"/>
    <w:rPr>
      <w:color w:val="605E5C"/>
      <w:shd w:val="clear" w:color="auto" w:fill="E1DFDD"/>
    </w:rPr>
  </w:style>
  <w:style w:type="table" w:styleId="TableGrid">
    <w:name w:val="Table Grid"/>
    <w:basedOn w:val="TableNormal"/>
    <w:uiPriority w:val="39"/>
    <w:rsid w:val="0006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29E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D29E4"/>
    <w:rPr>
      <w:sz w:val="20"/>
      <w:szCs w:val="20"/>
    </w:rPr>
  </w:style>
  <w:style w:type="character" w:styleId="FootnoteReference">
    <w:name w:val="footnote reference"/>
    <w:basedOn w:val="DefaultParagraphFont"/>
    <w:uiPriority w:val="99"/>
    <w:semiHidden/>
    <w:unhideWhenUsed/>
    <w:rsid w:val="001D29E4"/>
    <w:rPr>
      <w:vertAlign w:val="superscript"/>
    </w:rPr>
  </w:style>
  <w:style w:type="character" w:styleId="CommentReference">
    <w:name w:val="annotation reference"/>
    <w:basedOn w:val="DefaultParagraphFont"/>
    <w:uiPriority w:val="99"/>
    <w:semiHidden/>
    <w:unhideWhenUsed/>
    <w:rsid w:val="000E37DC"/>
    <w:rPr>
      <w:sz w:val="16"/>
      <w:szCs w:val="16"/>
    </w:rPr>
  </w:style>
  <w:style w:type="paragraph" w:styleId="CommentText">
    <w:name w:val="annotation text"/>
    <w:basedOn w:val="Normal"/>
    <w:link w:val="CommentTextChar"/>
    <w:uiPriority w:val="99"/>
    <w:semiHidden/>
    <w:unhideWhenUsed/>
    <w:rsid w:val="000E37DC"/>
    <w:rPr>
      <w:sz w:val="20"/>
      <w:szCs w:val="20"/>
    </w:rPr>
  </w:style>
  <w:style w:type="character" w:customStyle="1" w:styleId="CommentTextChar">
    <w:name w:val="Comment Text Char"/>
    <w:basedOn w:val="DefaultParagraphFont"/>
    <w:link w:val="CommentText"/>
    <w:uiPriority w:val="99"/>
    <w:semiHidden/>
    <w:rsid w:val="000E37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37DC"/>
    <w:rPr>
      <w:b/>
      <w:bCs/>
    </w:rPr>
  </w:style>
  <w:style w:type="character" w:customStyle="1" w:styleId="CommentSubjectChar">
    <w:name w:val="Comment Subject Char"/>
    <w:basedOn w:val="CommentTextChar"/>
    <w:link w:val="CommentSubject"/>
    <w:uiPriority w:val="99"/>
    <w:semiHidden/>
    <w:rsid w:val="000E37D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3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DC"/>
    <w:rPr>
      <w:rFonts w:ascii="Segoe UI" w:eastAsia="Times New Roman" w:hAnsi="Segoe UI" w:cs="Segoe UI"/>
      <w:sz w:val="18"/>
      <w:szCs w:val="18"/>
    </w:rPr>
  </w:style>
  <w:style w:type="paragraph" w:styleId="Header">
    <w:name w:val="header"/>
    <w:basedOn w:val="Normal"/>
    <w:link w:val="HeaderChar"/>
    <w:uiPriority w:val="99"/>
    <w:unhideWhenUsed/>
    <w:rsid w:val="00E42C76"/>
    <w:pPr>
      <w:tabs>
        <w:tab w:val="center" w:pos="4513"/>
        <w:tab w:val="right" w:pos="9026"/>
      </w:tabs>
    </w:pPr>
  </w:style>
  <w:style w:type="character" w:customStyle="1" w:styleId="HeaderChar">
    <w:name w:val="Header Char"/>
    <w:basedOn w:val="DefaultParagraphFont"/>
    <w:link w:val="Header"/>
    <w:uiPriority w:val="99"/>
    <w:rsid w:val="00E42C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2C76"/>
    <w:pPr>
      <w:tabs>
        <w:tab w:val="center" w:pos="4513"/>
        <w:tab w:val="right" w:pos="9026"/>
      </w:tabs>
    </w:pPr>
  </w:style>
  <w:style w:type="character" w:customStyle="1" w:styleId="FooterChar">
    <w:name w:val="Footer Char"/>
    <w:basedOn w:val="DefaultParagraphFont"/>
    <w:link w:val="Footer"/>
    <w:uiPriority w:val="99"/>
    <w:rsid w:val="00E42C76"/>
    <w:rPr>
      <w:rFonts w:ascii="Times New Roman" w:eastAsia="Times New Roman" w:hAnsi="Times New Roman" w:cs="Times New Roman"/>
      <w:sz w:val="24"/>
      <w:szCs w:val="24"/>
    </w:rPr>
  </w:style>
  <w:style w:type="character" w:styleId="Mention">
    <w:name w:val="Mention"/>
    <w:basedOn w:val="DefaultParagraphFont"/>
    <w:uiPriority w:val="99"/>
    <w:unhideWhenUsed/>
    <w:rsid w:val="006C522F"/>
    <w:rPr>
      <w:color w:val="2B579A"/>
      <w:shd w:val="clear" w:color="auto" w:fill="E1DFDD"/>
    </w:rPr>
  </w:style>
  <w:style w:type="character" w:styleId="FollowedHyperlink">
    <w:name w:val="FollowedHyperlink"/>
    <w:basedOn w:val="DefaultParagraphFont"/>
    <w:uiPriority w:val="99"/>
    <w:semiHidden/>
    <w:unhideWhenUsed/>
    <w:rsid w:val="00F27EAE"/>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basedOn w:val="DefaultParagraphFont"/>
    <w:link w:val="ListParagraph"/>
    <w:uiPriority w:val="34"/>
    <w:qFormat/>
    <w:locked/>
    <w:rsid w:val="00D60FC8"/>
    <w:rPr>
      <w:rFonts w:ascii="Times New Roman" w:eastAsia="Times New Roman" w:hAnsi="Times New Roman" w:cs="Times New Roman"/>
      <w:sz w:val="24"/>
      <w:szCs w:val="24"/>
    </w:rPr>
  </w:style>
  <w:style w:type="paragraph" w:customStyle="1" w:styleId="Default">
    <w:name w:val="Default"/>
    <w:rsid w:val="00525B4A"/>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963FCA"/>
  </w:style>
  <w:style w:type="character" w:customStyle="1" w:styleId="eop">
    <w:name w:val="eop"/>
    <w:basedOn w:val="DefaultParagraphFont"/>
    <w:rsid w:val="00963FCA"/>
  </w:style>
  <w:style w:type="paragraph" w:customStyle="1" w:styleId="paragraph">
    <w:name w:val="paragraph"/>
    <w:basedOn w:val="Normal"/>
    <w:rsid w:val="00963FCA"/>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BC6865"/>
    <w:rPr>
      <w:rFonts w:ascii="Arial" w:eastAsia="Times New Roman" w:hAnsi="Arial" w:cs="Arial"/>
      <w:b/>
      <w:sz w:val="54"/>
      <w:szCs w:val="54"/>
    </w:rPr>
  </w:style>
  <w:style w:type="character" w:customStyle="1" w:styleId="Heading2Char">
    <w:name w:val="Heading 2 Char"/>
    <w:basedOn w:val="DefaultParagraphFont"/>
    <w:link w:val="Heading2"/>
    <w:uiPriority w:val="9"/>
    <w:rsid w:val="00BC6865"/>
    <w:rPr>
      <w:rFonts w:ascii="Arial" w:eastAsia="Times New Roman" w:hAnsi="Arial" w:cs="Arial"/>
      <w:b/>
      <w:sz w:val="28"/>
      <w:szCs w:val="28"/>
    </w:rPr>
  </w:style>
  <w:style w:type="character" w:customStyle="1" w:styleId="Heading3Char">
    <w:name w:val="Heading 3 Char"/>
    <w:basedOn w:val="DefaultParagraphFont"/>
    <w:link w:val="Heading3"/>
    <w:uiPriority w:val="9"/>
    <w:rsid w:val="00BC6865"/>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190">
      <w:bodyDiv w:val="1"/>
      <w:marLeft w:val="0"/>
      <w:marRight w:val="0"/>
      <w:marTop w:val="0"/>
      <w:marBottom w:val="0"/>
      <w:divBdr>
        <w:top w:val="none" w:sz="0" w:space="0" w:color="auto"/>
        <w:left w:val="none" w:sz="0" w:space="0" w:color="auto"/>
        <w:bottom w:val="none" w:sz="0" w:space="0" w:color="auto"/>
        <w:right w:val="none" w:sz="0" w:space="0" w:color="auto"/>
      </w:divBdr>
    </w:div>
    <w:div w:id="141704692">
      <w:bodyDiv w:val="1"/>
      <w:marLeft w:val="0"/>
      <w:marRight w:val="0"/>
      <w:marTop w:val="0"/>
      <w:marBottom w:val="0"/>
      <w:divBdr>
        <w:top w:val="none" w:sz="0" w:space="0" w:color="auto"/>
        <w:left w:val="none" w:sz="0" w:space="0" w:color="auto"/>
        <w:bottom w:val="none" w:sz="0" w:space="0" w:color="auto"/>
        <w:right w:val="none" w:sz="0" w:space="0" w:color="auto"/>
      </w:divBdr>
    </w:div>
    <w:div w:id="226111993">
      <w:bodyDiv w:val="1"/>
      <w:marLeft w:val="0"/>
      <w:marRight w:val="0"/>
      <w:marTop w:val="0"/>
      <w:marBottom w:val="0"/>
      <w:divBdr>
        <w:top w:val="none" w:sz="0" w:space="0" w:color="auto"/>
        <w:left w:val="none" w:sz="0" w:space="0" w:color="auto"/>
        <w:bottom w:val="none" w:sz="0" w:space="0" w:color="auto"/>
        <w:right w:val="none" w:sz="0" w:space="0" w:color="auto"/>
      </w:divBdr>
    </w:div>
    <w:div w:id="390463509">
      <w:bodyDiv w:val="1"/>
      <w:marLeft w:val="0"/>
      <w:marRight w:val="0"/>
      <w:marTop w:val="0"/>
      <w:marBottom w:val="0"/>
      <w:divBdr>
        <w:top w:val="none" w:sz="0" w:space="0" w:color="auto"/>
        <w:left w:val="none" w:sz="0" w:space="0" w:color="auto"/>
        <w:bottom w:val="none" w:sz="0" w:space="0" w:color="auto"/>
        <w:right w:val="none" w:sz="0" w:space="0" w:color="auto"/>
      </w:divBdr>
    </w:div>
    <w:div w:id="436605756">
      <w:bodyDiv w:val="1"/>
      <w:marLeft w:val="0"/>
      <w:marRight w:val="0"/>
      <w:marTop w:val="0"/>
      <w:marBottom w:val="0"/>
      <w:divBdr>
        <w:top w:val="none" w:sz="0" w:space="0" w:color="auto"/>
        <w:left w:val="none" w:sz="0" w:space="0" w:color="auto"/>
        <w:bottom w:val="none" w:sz="0" w:space="0" w:color="auto"/>
        <w:right w:val="none" w:sz="0" w:space="0" w:color="auto"/>
      </w:divBdr>
    </w:div>
    <w:div w:id="579102197">
      <w:bodyDiv w:val="1"/>
      <w:marLeft w:val="0"/>
      <w:marRight w:val="0"/>
      <w:marTop w:val="0"/>
      <w:marBottom w:val="0"/>
      <w:divBdr>
        <w:top w:val="none" w:sz="0" w:space="0" w:color="auto"/>
        <w:left w:val="none" w:sz="0" w:space="0" w:color="auto"/>
        <w:bottom w:val="none" w:sz="0" w:space="0" w:color="auto"/>
        <w:right w:val="none" w:sz="0" w:space="0" w:color="auto"/>
      </w:divBdr>
    </w:div>
    <w:div w:id="866987530">
      <w:bodyDiv w:val="1"/>
      <w:marLeft w:val="0"/>
      <w:marRight w:val="0"/>
      <w:marTop w:val="0"/>
      <w:marBottom w:val="0"/>
      <w:divBdr>
        <w:top w:val="none" w:sz="0" w:space="0" w:color="auto"/>
        <w:left w:val="none" w:sz="0" w:space="0" w:color="auto"/>
        <w:bottom w:val="none" w:sz="0" w:space="0" w:color="auto"/>
        <w:right w:val="none" w:sz="0" w:space="0" w:color="auto"/>
      </w:divBdr>
      <w:divsChild>
        <w:div w:id="1027213504">
          <w:marLeft w:val="0"/>
          <w:marRight w:val="0"/>
          <w:marTop w:val="0"/>
          <w:marBottom w:val="0"/>
          <w:divBdr>
            <w:top w:val="none" w:sz="0" w:space="0" w:color="auto"/>
            <w:left w:val="none" w:sz="0" w:space="0" w:color="auto"/>
            <w:bottom w:val="none" w:sz="0" w:space="0" w:color="auto"/>
            <w:right w:val="none" w:sz="0" w:space="0" w:color="auto"/>
          </w:divBdr>
        </w:div>
      </w:divsChild>
    </w:div>
    <w:div w:id="971641139">
      <w:bodyDiv w:val="1"/>
      <w:marLeft w:val="0"/>
      <w:marRight w:val="0"/>
      <w:marTop w:val="0"/>
      <w:marBottom w:val="0"/>
      <w:divBdr>
        <w:top w:val="none" w:sz="0" w:space="0" w:color="auto"/>
        <w:left w:val="none" w:sz="0" w:space="0" w:color="auto"/>
        <w:bottom w:val="none" w:sz="0" w:space="0" w:color="auto"/>
        <w:right w:val="none" w:sz="0" w:space="0" w:color="auto"/>
      </w:divBdr>
    </w:div>
    <w:div w:id="1024327786">
      <w:bodyDiv w:val="1"/>
      <w:marLeft w:val="0"/>
      <w:marRight w:val="0"/>
      <w:marTop w:val="0"/>
      <w:marBottom w:val="0"/>
      <w:divBdr>
        <w:top w:val="none" w:sz="0" w:space="0" w:color="auto"/>
        <w:left w:val="none" w:sz="0" w:space="0" w:color="auto"/>
        <w:bottom w:val="none" w:sz="0" w:space="0" w:color="auto"/>
        <w:right w:val="none" w:sz="0" w:space="0" w:color="auto"/>
      </w:divBdr>
      <w:divsChild>
        <w:div w:id="368382820">
          <w:marLeft w:val="0"/>
          <w:marRight w:val="0"/>
          <w:marTop w:val="0"/>
          <w:marBottom w:val="0"/>
          <w:divBdr>
            <w:top w:val="none" w:sz="0" w:space="0" w:color="auto"/>
            <w:left w:val="none" w:sz="0" w:space="0" w:color="auto"/>
            <w:bottom w:val="none" w:sz="0" w:space="0" w:color="auto"/>
            <w:right w:val="none" w:sz="0" w:space="0" w:color="auto"/>
          </w:divBdr>
        </w:div>
        <w:div w:id="430929462">
          <w:marLeft w:val="0"/>
          <w:marRight w:val="0"/>
          <w:marTop w:val="0"/>
          <w:marBottom w:val="0"/>
          <w:divBdr>
            <w:top w:val="none" w:sz="0" w:space="0" w:color="auto"/>
            <w:left w:val="none" w:sz="0" w:space="0" w:color="auto"/>
            <w:bottom w:val="none" w:sz="0" w:space="0" w:color="auto"/>
            <w:right w:val="none" w:sz="0" w:space="0" w:color="auto"/>
          </w:divBdr>
        </w:div>
        <w:div w:id="2062747246">
          <w:marLeft w:val="0"/>
          <w:marRight w:val="0"/>
          <w:marTop w:val="0"/>
          <w:marBottom w:val="0"/>
          <w:divBdr>
            <w:top w:val="none" w:sz="0" w:space="0" w:color="auto"/>
            <w:left w:val="none" w:sz="0" w:space="0" w:color="auto"/>
            <w:bottom w:val="none" w:sz="0" w:space="0" w:color="auto"/>
            <w:right w:val="none" w:sz="0" w:space="0" w:color="auto"/>
          </w:divBdr>
        </w:div>
      </w:divsChild>
    </w:div>
    <w:div w:id="1065110340">
      <w:bodyDiv w:val="1"/>
      <w:marLeft w:val="0"/>
      <w:marRight w:val="0"/>
      <w:marTop w:val="0"/>
      <w:marBottom w:val="0"/>
      <w:divBdr>
        <w:top w:val="none" w:sz="0" w:space="0" w:color="auto"/>
        <w:left w:val="none" w:sz="0" w:space="0" w:color="auto"/>
        <w:bottom w:val="none" w:sz="0" w:space="0" w:color="auto"/>
        <w:right w:val="none" w:sz="0" w:space="0" w:color="auto"/>
      </w:divBdr>
    </w:div>
    <w:div w:id="1166826235">
      <w:bodyDiv w:val="1"/>
      <w:marLeft w:val="0"/>
      <w:marRight w:val="0"/>
      <w:marTop w:val="0"/>
      <w:marBottom w:val="0"/>
      <w:divBdr>
        <w:top w:val="none" w:sz="0" w:space="0" w:color="auto"/>
        <w:left w:val="none" w:sz="0" w:space="0" w:color="auto"/>
        <w:bottom w:val="none" w:sz="0" w:space="0" w:color="auto"/>
        <w:right w:val="none" w:sz="0" w:space="0" w:color="auto"/>
      </w:divBdr>
    </w:div>
    <w:div w:id="1267037407">
      <w:bodyDiv w:val="1"/>
      <w:marLeft w:val="0"/>
      <w:marRight w:val="0"/>
      <w:marTop w:val="0"/>
      <w:marBottom w:val="0"/>
      <w:divBdr>
        <w:top w:val="none" w:sz="0" w:space="0" w:color="auto"/>
        <w:left w:val="none" w:sz="0" w:space="0" w:color="auto"/>
        <w:bottom w:val="none" w:sz="0" w:space="0" w:color="auto"/>
        <w:right w:val="none" w:sz="0" w:space="0" w:color="auto"/>
      </w:divBdr>
    </w:div>
    <w:div w:id="1286766431">
      <w:bodyDiv w:val="1"/>
      <w:marLeft w:val="0"/>
      <w:marRight w:val="0"/>
      <w:marTop w:val="0"/>
      <w:marBottom w:val="0"/>
      <w:divBdr>
        <w:top w:val="none" w:sz="0" w:space="0" w:color="auto"/>
        <w:left w:val="none" w:sz="0" w:space="0" w:color="auto"/>
        <w:bottom w:val="none" w:sz="0" w:space="0" w:color="auto"/>
        <w:right w:val="none" w:sz="0" w:space="0" w:color="auto"/>
      </w:divBdr>
      <w:divsChild>
        <w:div w:id="13044036">
          <w:marLeft w:val="0"/>
          <w:marRight w:val="0"/>
          <w:marTop w:val="0"/>
          <w:marBottom w:val="0"/>
          <w:divBdr>
            <w:top w:val="none" w:sz="0" w:space="0" w:color="auto"/>
            <w:left w:val="none" w:sz="0" w:space="0" w:color="auto"/>
            <w:bottom w:val="none" w:sz="0" w:space="0" w:color="auto"/>
            <w:right w:val="none" w:sz="0" w:space="0" w:color="auto"/>
          </w:divBdr>
          <w:divsChild>
            <w:div w:id="1469324780">
              <w:marLeft w:val="0"/>
              <w:marRight w:val="0"/>
              <w:marTop w:val="0"/>
              <w:marBottom w:val="0"/>
              <w:divBdr>
                <w:top w:val="none" w:sz="0" w:space="0" w:color="auto"/>
                <w:left w:val="none" w:sz="0" w:space="0" w:color="auto"/>
                <w:bottom w:val="none" w:sz="0" w:space="0" w:color="auto"/>
                <w:right w:val="none" w:sz="0" w:space="0" w:color="auto"/>
              </w:divBdr>
            </w:div>
          </w:divsChild>
        </w:div>
        <w:div w:id="16665801">
          <w:marLeft w:val="0"/>
          <w:marRight w:val="0"/>
          <w:marTop w:val="0"/>
          <w:marBottom w:val="0"/>
          <w:divBdr>
            <w:top w:val="none" w:sz="0" w:space="0" w:color="auto"/>
            <w:left w:val="none" w:sz="0" w:space="0" w:color="auto"/>
            <w:bottom w:val="none" w:sz="0" w:space="0" w:color="auto"/>
            <w:right w:val="none" w:sz="0" w:space="0" w:color="auto"/>
          </w:divBdr>
          <w:divsChild>
            <w:div w:id="1594167611">
              <w:marLeft w:val="0"/>
              <w:marRight w:val="0"/>
              <w:marTop w:val="0"/>
              <w:marBottom w:val="0"/>
              <w:divBdr>
                <w:top w:val="none" w:sz="0" w:space="0" w:color="auto"/>
                <w:left w:val="none" w:sz="0" w:space="0" w:color="auto"/>
                <w:bottom w:val="none" w:sz="0" w:space="0" w:color="auto"/>
                <w:right w:val="none" w:sz="0" w:space="0" w:color="auto"/>
              </w:divBdr>
            </w:div>
          </w:divsChild>
        </w:div>
        <w:div w:id="23409408">
          <w:marLeft w:val="0"/>
          <w:marRight w:val="0"/>
          <w:marTop w:val="0"/>
          <w:marBottom w:val="0"/>
          <w:divBdr>
            <w:top w:val="none" w:sz="0" w:space="0" w:color="auto"/>
            <w:left w:val="none" w:sz="0" w:space="0" w:color="auto"/>
            <w:bottom w:val="none" w:sz="0" w:space="0" w:color="auto"/>
            <w:right w:val="none" w:sz="0" w:space="0" w:color="auto"/>
          </w:divBdr>
          <w:divsChild>
            <w:div w:id="1632588222">
              <w:marLeft w:val="0"/>
              <w:marRight w:val="0"/>
              <w:marTop w:val="0"/>
              <w:marBottom w:val="0"/>
              <w:divBdr>
                <w:top w:val="none" w:sz="0" w:space="0" w:color="auto"/>
                <w:left w:val="none" w:sz="0" w:space="0" w:color="auto"/>
                <w:bottom w:val="none" w:sz="0" w:space="0" w:color="auto"/>
                <w:right w:val="none" w:sz="0" w:space="0" w:color="auto"/>
              </w:divBdr>
            </w:div>
          </w:divsChild>
        </w:div>
        <w:div w:id="31224389">
          <w:marLeft w:val="0"/>
          <w:marRight w:val="0"/>
          <w:marTop w:val="0"/>
          <w:marBottom w:val="0"/>
          <w:divBdr>
            <w:top w:val="none" w:sz="0" w:space="0" w:color="auto"/>
            <w:left w:val="none" w:sz="0" w:space="0" w:color="auto"/>
            <w:bottom w:val="none" w:sz="0" w:space="0" w:color="auto"/>
            <w:right w:val="none" w:sz="0" w:space="0" w:color="auto"/>
          </w:divBdr>
          <w:divsChild>
            <w:div w:id="1729955076">
              <w:marLeft w:val="0"/>
              <w:marRight w:val="0"/>
              <w:marTop w:val="0"/>
              <w:marBottom w:val="0"/>
              <w:divBdr>
                <w:top w:val="none" w:sz="0" w:space="0" w:color="auto"/>
                <w:left w:val="none" w:sz="0" w:space="0" w:color="auto"/>
                <w:bottom w:val="none" w:sz="0" w:space="0" w:color="auto"/>
                <w:right w:val="none" w:sz="0" w:space="0" w:color="auto"/>
              </w:divBdr>
            </w:div>
          </w:divsChild>
        </w:div>
        <w:div w:id="35811959">
          <w:marLeft w:val="0"/>
          <w:marRight w:val="0"/>
          <w:marTop w:val="0"/>
          <w:marBottom w:val="0"/>
          <w:divBdr>
            <w:top w:val="none" w:sz="0" w:space="0" w:color="auto"/>
            <w:left w:val="none" w:sz="0" w:space="0" w:color="auto"/>
            <w:bottom w:val="none" w:sz="0" w:space="0" w:color="auto"/>
            <w:right w:val="none" w:sz="0" w:space="0" w:color="auto"/>
          </w:divBdr>
          <w:divsChild>
            <w:div w:id="1262301834">
              <w:marLeft w:val="0"/>
              <w:marRight w:val="0"/>
              <w:marTop w:val="0"/>
              <w:marBottom w:val="0"/>
              <w:divBdr>
                <w:top w:val="none" w:sz="0" w:space="0" w:color="auto"/>
                <w:left w:val="none" w:sz="0" w:space="0" w:color="auto"/>
                <w:bottom w:val="none" w:sz="0" w:space="0" w:color="auto"/>
                <w:right w:val="none" w:sz="0" w:space="0" w:color="auto"/>
              </w:divBdr>
            </w:div>
          </w:divsChild>
        </w:div>
        <w:div w:id="43219025">
          <w:marLeft w:val="0"/>
          <w:marRight w:val="0"/>
          <w:marTop w:val="0"/>
          <w:marBottom w:val="0"/>
          <w:divBdr>
            <w:top w:val="none" w:sz="0" w:space="0" w:color="auto"/>
            <w:left w:val="none" w:sz="0" w:space="0" w:color="auto"/>
            <w:bottom w:val="none" w:sz="0" w:space="0" w:color="auto"/>
            <w:right w:val="none" w:sz="0" w:space="0" w:color="auto"/>
          </w:divBdr>
          <w:divsChild>
            <w:div w:id="1693845004">
              <w:marLeft w:val="0"/>
              <w:marRight w:val="0"/>
              <w:marTop w:val="0"/>
              <w:marBottom w:val="0"/>
              <w:divBdr>
                <w:top w:val="none" w:sz="0" w:space="0" w:color="auto"/>
                <w:left w:val="none" w:sz="0" w:space="0" w:color="auto"/>
                <w:bottom w:val="none" w:sz="0" w:space="0" w:color="auto"/>
                <w:right w:val="none" w:sz="0" w:space="0" w:color="auto"/>
              </w:divBdr>
            </w:div>
          </w:divsChild>
        </w:div>
        <w:div w:id="58867010">
          <w:marLeft w:val="0"/>
          <w:marRight w:val="0"/>
          <w:marTop w:val="0"/>
          <w:marBottom w:val="0"/>
          <w:divBdr>
            <w:top w:val="none" w:sz="0" w:space="0" w:color="auto"/>
            <w:left w:val="none" w:sz="0" w:space="0" w:color="auto"/>
            <w:bottom w:val="none" w:sz="0" w:space="0" w:color="auto"/>
            <w:right w:val="none" w:sz="0" w:space="0" w:color="auto"/>
          </w:divBdr>
          <w:divsChild>
            <w:div w:id="835732078">
              <w:marLeft w:val="0"/>
              <w:marRight w:val="0"/>
              <w:marTop w:val="0"/>
              <w:marBottom w:val="0"/>
              <w:divBdr>
                <w:top w:val="none" w:sz="0" w:space="0" w:color="auto"/>
                <w:left w:val="none" w:sz="0" w:space="0" w:color="auto"/>
                <w:bottom w:val="none" w:sz="0" w:space="0" w:color="auto"/>
                <w:right w:val="none" w:sz="0" w:space="0" w:color="auto"/>
              </w:divBdr>
            </w:div>
          </w:divsChild>
        </w:div>
        <w:div w:id="84694116">
          <w:marLeft w:val="0"/>
          <w:marRight w:val="0"/>
          <w:marTop w:val="0"/>
          <w:marBottom w:val="0"/>
          <w:divBdr>
            <w:top w:val="none" w:sz="0" w:space="0" w:color="auto"/>
            <w:left w:val="none" w:sz="0" w:space="0" w:color="auto"/>
            <w:bottom w:val="none" w:sz="0" w:space="0" w:color="auto"/>
            <w:right w:val="none" w:sz="0" w:space="0" w:color="auto"/>
          </w:divBdr>
          <w:divsChild>
            <w:div w:id="2012562804">
              <w:marLeft w:val="0"/>
              <w:marRight w:val="0"/>
              <w:marTop w:val="0"/>
              <w:marBottom w:val="0"/>
              <w:divBdr>
                <w:top w:val="none" w:sz="0" w:space="0" w:color="auto"/>
                <w:left w:val="none" w:sz="0" w:space="0" w:color="auto"/>
                <w:bottom w:val="none" w:sz="0" w:space="0" w:color="auto"/>
                <w:right w:val="none" w:sz="0" w:space="0" w:color="auto"/>
              </w:divBdr>
            </w:div>
          </w:divsChild>
        </w:div>
        <w:div w:id="89816021">
          <w:marLeft w:val="0"/>
          <w:marRight w:val="0"/>
          <w:marTop w:val="0"/>
          <w:marBottom w:val="0"/>
          <w:divBdr>
            <w:top w:val="none" w:sz="0" w:space="0" w:color="auto"/>
            <w:left w:val="none" w:sz="0" w:space="0" w:color="auto"/>
            <w:bottom w:val="none" w:sz="0" w:space="0" w:color="auto"/>
            <w:right w:val="none" w:sz="0" w:space="0" w:color="auto"/>
          </w:divBdr>
          <w:divsChild>
            <w:div w:id="705058008">
              <w:marLeft w:val="0"/>
              <w:marRight w:val="0"/>
              <w:marTop w:val="0"/>
              <w:marBottom w:val="0"/>
              <w:divBdr>
                <w:top w:val="none" w:sz="0" w:space="0" w:color="auto"/>
                <w:left w:val="none" w:sz="0" w:space="0" w:color="auto"/>
                <w:bottom w:val="none" w:sz="0" w:space="0" w:color="auto"/>
                <w:right w:val="none" w:sz="0" w:space="0" w:color="auto"/>
              </w:divBdr>
            </w:div>
          </w:divsChild>
        </w:div>
        <w:div w:id="139538829">
          <w:marLeft w:val="0"/>
          <w:marRight w:val="0"/>
          <w:marTop w:val="0"/>
          <w:marBottom w:val="0"/>
          <w:divBdr>
            <w:top w:val="none" w:sz="0" w:space="0" w:color="auto"/>
            <w:left w:val="none" w:sz="0" w:space="0" w:color="auto"/>
            <w:bottom w:val="none" w:sz="0" w:space="0" w:color="auto"/>
            <w:right w:val="none" w:sz="0" w:space="0" w:color="auto"/>
          </w:divBdr>
          <w:divsChild>
            <w:div w:id="1988821356">
              <w:marLeft w:val="0"/>
              <w:marRight w:val="0"/>
              <w:marTop w:val="0"/>
              <w:marBottom w:val="0"/>
              <w:divBdr>
                <w:top w:val="none" w:sz="0" w:space="0" w:color="auto"/>
                <w:left w:val="none" w:sz="0" w:space="0" w:color="auto"/>
                <w:bottom w:val="none" w:sz="0" w:space="0" w:color="auto"/>
                <w:right w:val="none" w:sz="0" w:space="0" w:color="auto"/>
              </w:divBdr>
            </w:div>
          </w:divsChild>
        </w:div>
        <w:div w:id="145128778">
          <w:marLeft w:val="0"/>
          <w:marRight w:val="0"/>
          <w:marTop w:val="0"/>
          <w:marBottom w:val="0"/>
          <w:divBdr>
            <w:top w:val="none" w:sz="0" w:space="0" w:color="auto"/>
            <w:left w:val="none" w:sz="0" w:space="0" w:color="auto"/>
            <w:bottom w:val="none" w:sz="0" w:space="0" w:color="auto"/>
            <w:right w:val="none" w:sz="0" w:space="0" w:color="auto"/>
          </w:divBdr>
          <w:divsChild>
            <w:div w:id="115177234">
              <w:marLeft w:val="0"/>
              <w:marRight w:val="0"/>
              <w:marTop w:val="0"/>
              <w:marBottom w:val="0"/>
              <w:divBdr>
                <w:top w:val="none" w:sz="0" w:space="0" w:color="auto"/>
                <w:left w:val="none" w:sz="0" w:space="0" w:color="auto"/>
                <w:bottom w:val="none" w:sz="0" w:space="0" w:color="auto"/>
                <w:right w:val="none" w:sz="0" w:space="0" w:color="auto"/>
              </w:divBdr>
            </w:div>
          </w:divsChild>
        </w:div>
        <w:div w:id="190920651">
          <w:marLeft w:val="0"/>
          <w:marRight w:val="0"/>
          <w:marTop w:val="0"/>
          <w:marBottom w:val="0"/>
          <w:divBdr>
            <w:top w:val="none" w:sz="0" w:space="0" w:color="auto"/>
            <w:left w:val="none" w:sz="0" w:space="0" w:color="auto"/>
            <w:bottom w:val="none" w:sz="0" w:space="0" w:color="auto"/>
            <w:right w:val="none" w:sz="0" w:space="0" w:color="auto"/>
          </w:divBdr>
          <w:divsChild>
            <w:div w:id="1198006832">
              <w:marLeft w:val="0"/>
              <w:marRight w:val="0"/>
              <w:marTop w:val="0"/>
              <w:marBottom w:val="0"/>
              <w:divBdr>
                <w:top w:val="none" w:sz="0" w:space="0" w:color="auto"/>
                <w:left w:val="none" w:sz="0" w:space="0" w:color="auto"/>
                <w:bottom w:val="none" w:sz="0" w:space="0" w:color="auto"/>
                <w:right w:val="none" w:sz="0" w:space="0" w:color="auto"/>
              </w:divBdr>
            </w:div>
          </w:divsChild>
        </w:div>
        <w:div w:id="191768461">
          <w:marLeft w:val="0"/>
          <w:marRight w:val="0"/>
          <w:marTop w:val="0"/>
          <w:marBottom w:val="0"/>
          <w:divBdr>
            <w:top w:val="none" w:sz="0" w:space="0" w:color="auto"/>
            <w:left w:val="none" w:sz="0" w:space="0" w:color="auto"/>
            <w:bottom w:val="none" w:sz="0" w:space="0" w:color="auto"/>
            <w:right w:val="none" w:sz="0" w:space="0" w:color="auto"/>
          </w:divBdr>
          <w:divsChild>
            <w:div w:id="1520704297">
              <w:marLeft w:val="0"/>
              <w:marRight w:val="0"/>
              <w:marTop w:val="0"/>
              <w:marBottom w:val="0"/>
              <w:divBdr>
                <w:top w:val="none" w:sz="0" w:space="0" w:color="auto"/>
                <w:left w:val="none" w:sz="0" w:space="0" w:color="auto"/>
                <w:bottom w:val="none" w:sz="0" w:space="0" w:color="auto"/>
                <w:right w:val="none" w:sz="0" w:space="0" w:color="auto"/>
              </w:divBdr>
            </w:div>
          </w:divsChild>
        </w:div>
        <w:div w:id="213390689">
          <w:marLeft w:val="0"/>
          <w:marRight w:val="0"/>
          <w:marTop w:val="0"/>
          <w:marBottom w:val="0"/>
          <w:divBdr>
            <w:top w:val="none" w:sz="0" w:space="0" w:color="auto"/>
            <w:left w:val="none" w:sz="0" w:space="0" w:color="auto"/>
            <w:bottom w:val="none" w:sz="0" w:space="0" w:color="auto"/>
            <w:right w:val="none" w:sz="0" w:space="0" w:color="auto"/>
          </w:divBdr>
          <w:divsChild>
            <w:div w:id="2125995534">
              <w:marLeft w:val="0"/>
              <w:marRight w:val="0"/>
              <w:marTop w:val="0"/>
              <w:marBottom w:val="0"/>
              <w:divBdr>
                <w:top w:val="none" w:sz="0" w:space="0" w:color="auto"/>
                <w:left w:val="none" w:sz="0" w:space="0" w:color="auto"/>
                <w:bottom w:val="none" w:sz="0" w:space="0" w:color="auto"/>
                <w:right w:val="none" w:sz="0" w:space="0" w:color="auto"/>
              </w:divBdr>
            </w:div>
          </w:divsChild>
        </w:div>
        <w:div w:id="231429891">
          <w:marLeft w:val="0"/>
          <w:marRight w:val="0"/>
          <w:marTop w:val="0"/>
          <w:marBottom w:val="0"/>
          <w:divBdr>
            <w:top w:val="none" w:sz="0" w:space="0" w:color="auto"/>
            <w:left w:val="none" w:sz="0" w:space="0" w:color="auto"/>
            <w:bottom w:val="none" w:sz="0" w:space="0" w:color="auto"/>
            <w:right w:val="none" w:sz="0" w:space="0" w:color="auto"/>
          </w:divBdr>
          <w:divsChild>
            <w:div w:id="586421423">
              <w:marLeft w:val="0"/>
              <w:marRight w:val="0"/>
              <w:marTop w:val="0"/>
              <w:marBottom w:val="0"/>
              <w:divBdr>
                <w:top w:val="none" w:sz="0" w:space="0" w:color="auto"/>
                <w:left w:val="none" w:sz="0" w:space="0" w:color="auto"/>
                <w:bottom w:val="none" w:sz="0" w:space="0" w:color="auto"/>
                <w:right w:val="none" w:sz="0" w:space="0" w:color="auto"/>
              </w:divBdr>
            </w:div>
          </w:divsChild>
        </w:div>
        <w:div w:id="259489757">
          <w:marLeft w:val="0"/>
          <w:marRight w:val="0"/>
          <w:marTop w:val="0"/>
          <w:marBottom w:val="0"/>
          <w:divBdr>
            <w:top w:val="none" w:sz="0" w:space="0" w:color="auto"/>
            <w:left w:val="none" w:sz="0" w:space="0" w:color="auto"/>
            <w:bottom w:val="none" w:sz="0" w:space="0" w:color="auto"/>
            <w:right w:val="none" w:sz="0" w:space="0" w:color="auto"/>
          </w:divBdr>
          <w:divsChild>
            <w:div w:id="1445886321">
              <w:marLeft w:val="0"/>
              <w:marRight w:val="0"/>
              <w:marTop w:val="0"/>
              <w:marBottom w:val="0"/>
              <w:divBdr>
                <w:top w:val="none" w:sz="0" w:space="0" w:color="auto"/>
                <w:left w:val="none" w:sz="0" w:space="0" w:color="auto"/>
                <w:bottom w:val="none" w:sz="0" w:space="0" w:color="auto"/>
                <w:right w:val="none" w:sz="0" w:space="0" w:color="auto"/>
              </w:divBdr>
            </w:div>
          </w:divsChild>
        </w:div>
        <w:div w:id="262537826">
          <w:marLeft w:val="0"/>
          <w:marRight w:val="0"/>
          <w:marTop w:val="0"/>
          <w:marBottom w:val="0"/>
          <w:divBdr>
            <w:top w:val="none" w:sz="0" w:space="0" w:color="auto"/>
            <w:left w:val="none" w:sz="0" w:space="0" w:color="auto"/>
            <w:bottom w:val="none" w:sz="0" w:space="0" w:color="auto"/>
            <w:right w:val="none" w:sz="0" w:space="0" w:color="auto"/>
          </w:divBdr>
          <w:divsChild>
            <w:div w:id="818182863">
              <w:marLeft w:val="0"/>
              <w:marRight w:val="0"/>
              <w:marTop w:val="0"/>
              <w:marBottom w:val="0"/>
              <w:divBdr>
                <w:top w:val="none" w:sz="0" w:space="0" w:color="auto"/>
                <w:left w:val="none" w:sz="0" w:space="0" w:color="auto"/>
                <w:bottom w:val="none" w:sz="0" w:space="0" w:color="auto"/>
                <w:right w:val="none" w:sz="0" w:space="0" w:color="auto"/>
              </w:divBdr>
            </w:div>
          </w:divsChild>
        </w:div>
        <w:div w:id="273944364">
          <w:marLeft w:val="0"/>
          <w:marRight w:val="0"/>
          <w:marTop w:val="0"/>
          <w:marBottom w:val="0"/>
          <w:divBdr>
            <w:top w:val="none" w:sz="0" w:space="0" w:color="auto"/>
            <w:left w:val="none" w:sz="0" w:space="0" w:color="auto"/>
            <w:bottom w:val="none" w:sz="0" w:space="0" w:color="auto"/>
            <w:right w:val="none" w:sz="0" w:space="0" w:color="auto"/>
          </w:divBdr>
          <w:divsChild>
            <w:div w:id="1790657995">
              <w:marLeft w:val="0"/>
              <w:marRight w:val="0"/>
              <w:marTop w:val="0"/>
              <w:marBottom w:val="0"/>
              <w:divBdr>
                <w:top w:val="none" w:sz="0" w:space="0" w:color="auto"/>
                <w:left w:val="none" w:sz="0" w:space="0" w:color="auto"/>
                <w:bottom w:val="none" w:sz="0" w:space="0" w:color="auto"/>
                <w:right w:val="none" w:sz="0" w:space="0" w:color="auto"/>
              </w:divBdr>
            </w:div>
          </w:divsChild>
        </w:div>
        <w:div w:id="283462674">
          <w:marLeft w:val="0"/>
          <w:marRight w:val="0"/>
          <w:marTop w:val="0"/>
          <w:marBottom w:val="0"/>
          <w:divBdr>
            <w:top w:val="none" w:sz="0" w:space="0" w:color="auto"/>
            <w:left w:val="none" w:sz="0" w:space="0" w:color="auto"/>
            <w:bottom w:val="none" w:sz="0" w:space="0" w:color="auto"/>
            <w:right w:val="none" w:sz="0" w:space="0" w:color="auto"/>
          </w:divBdr>
          <w:divsChild>
            <w:div w:id="1912620251">
              <w:marLeft w:val="0"/>
              <w:marRight w:val="0"/>
              <w:marTop w:val="0"/>
              <w:marBottom w:val="0"/>
              <w:divBdr>
                <w:top w:val="none" w:sz="0" w:space="0" w:color="auto"/>
                <w:left w:val="none" w:sz="0" w:space="0" w:color="auto"/>
                <w:bottom w:val="none" w:sz="0" w:space="0" w:color="auto"/>
                <w:right w:val="none" w:sz="0" w:space="0" w:color="auto"/>
              </w:divBdr>
            </w:div>
          </w:divsChild>
        </w:div>
        <w:div w:id="285352248">
          <w:marLeft w:val="0"/>
          <w:marRight w:val="0"/>
          <w:marTop w:val="0"/>
          <w:marBottom w:val="0"/>
          <w:divBdr>
            <w:top w:val="none" w:sz="0" w:space="0" w:color="auto"/>
            <w:left w:val="none" w:sz="0" w:space="0" w:color="auto"/>
            <w:bottom w:val="none" w:sz="0" w:space="0" w:color="auto"/>
            <w:right w:val="none" w:sz="0" w:space="0" w:color="auto"/>
          </w:divBdr>
          <w:divsChild>
            <w:div w:id="488209253">
              <w:marLeft w:val="0"/>
              <w:marRight w:val="0"/>
              <w:marTop w:val="0"/>
              <w:marBottom w:val="0"/>
              <w:divBdr>
                <w:top w:val="none" w:sz="0" w:space="0" w:color="auto"/>
                <w:left w:val="none" w:sz="0" w:space="0" w:color="auto"/>
                <w:bottom w:val="none" w:sz="0" w:space="0" w:color="auto"/>
                <w:right w:val="none" w:sz="0" w:space="0" w:color="auto"/>
              </w:divBdr>
            </w:div>
          </w:divsChild>
        </w:div>
        <w:div w:id="329022432">
          <w:marLeft w:val="0"/>
          <w:marRight w:val="0"/>
          <w:marTop w:val="0"/>
          <w:marBottom w:val="0"/>
          <w:divBdr>
            <w:top w:val="none" w:sz="0" w:space="0" w:color="auto"/>
            <w:left w:val="none" w:sz="0" w:space="0" w:color="auto"/>
            <w:bottom w:val="none" w:sz="0" w:space="0" w:color="auto"/>
            <w:right w:val="none" w:sz="0" w:space="0" w:color="auto"/>
          </w:divBdr>
          <w:divsChild>
            <w:div w:id="148911979">
              <w:marLeft w:val="0"/>
              <w:marRight w:val="0"/>
              <w:marTop w:val="0"/>
              <w:marBottom w:val="0"/>
              <w:divBdr>
                <w:top w:val="none" w:sz="0" w:space="0" w:color="auto"/>
                <w:left w:val="none" w:sz="0" w:space="0" w:color="auto"/>
                <w:bottom w:val="none" w:sz="0" w:space="0" w:color="auto"/>
                <w:right w:val="none" w:sz="0" w:space="0" w:color="auto"/>
              </w:divBdr>
            </w:div>
          </w:divsChild>
        </w:div>
        <w:div w:id="365907337">
          <w:marLeft w:val="0"/>
          <w:marRight w:val="0"/>
          <w:marTop w:val="0"/>
          <w:marBottom w:val="0"/>
          <w:divBdr>
            <w:top w:val="none" w:sz="0" w:space="0" w:color="auto"/>
            <w:left w:val="none" w:sz="0" w:space="0" w:color="auto"/>
            <w:bottom w:val="none" w:sz="0" w:space="0" w:color="auto"/>
            <w:right w:val="none" w:sz="0" w:space="0" w:color="auto"/>
          </w:divBdr>
          <w:divsChild>
            <w:div w:id="1083572578">
              <w:marLeft w:val="0"/>
              <w:marRight w:val="0"/>
              <w:marTop w:val="0"/>
              <w:marBottom w:val="0"/>
              <w:divBdr>
                <w:top w:val="none" w:sz="0" w:space="0" w:color="auto"/>
                <w:left w:val="none" w:sz="0" w:space="0" w:color="auto"/>
                <w:bottom w:val="none" w:sz="0" w:space="0" w:color="auto"/>
                <w:right w:val="none" w:sz="0" w:space="0" w:color="auto"/>
              </w:divBdr>
            </w:div>
          </w:divsChild>
        </w:div>
        <w:div w:id="369767500">
          <w:marLeft w:val="0"/>
          <w:marRight w:val="0"/>
          <w:marTop w:val="0"/>
          <w:marBottom w:val="0"/>
          <w:divBdr>
            <w:top w:val="none" w:sz="0" w:space="0" w:color="auto"/>
            <w:left w:val="none" w:sz="0" w:space="0" w:color="auto"/>
            <w:bottom w:val="none" w:sz="0" w:space="0" w:color="auto"/>
            <w:right w:val="none" w:sz="0" w:space="0" w:color="auto"/>
          </w:divBdr>
          <w:divsChild>
            <w:div w:id="1625312512">
              <w:marLeft w:val="0"/>
              <w:marRight w:val="0"/>
              <w:marTop w:val="0"/>
              <w:marBottom w:val="0"/>
              <w:divBdr>
                <w:top w:val="none" w:sz="0" w:space="0" w:color="auto"/>
                <w:left w:val="none" w:sz="0" w:space="0" w:color="auto"/>
                <w:bottom w:val="none" w:sz="0" w:space="0" w:color="auto"/>
                <w:right w:val="none" w:sz="0" w:space="0" w:color="auto"/>
              </w:divBdr>
            </w:div>
          </w:divsChild>
        </w:div>
        <w:div w:id="371616284">
          <w:marLeft w:val="0"/>
          <w:marRight w:val="0"/>
          <w:marTop w:val="0"/>
          <w:marBottom w:val="0"/>
          <w:divBdr>
            <w:top w:val="none" w:sz="0" w:space="0" w:color="auto"/>
            <w:left w:val="none" w:sz="0" w:space="0" w:color="auto"/>
            <w:bottom w:val="none" w:sz="0" w:space="0" w:color="auto"/>
            <w:right w:val="none" w:sz="0" w:space="0" w:color="auto"/>
          </w:divBdr>
          <w:divsChild>
            <w:div w:id="12659222">
              <w:marLeft w:val="0"/>
              <w:marRight w:val="0"/>
              <w:marTop w:val="0"/>
              <w:marBottom w:val="0"/>
              <w:divBdr>
                <w:top w:val="none" w:sz="0" w:space="0" w:color="auto"/>
                <w:left w:val="none" w:sz="0" w:space="0" w:color="auto"/>
                <w:bottom w:val="none" w:sz="0" w:space="0" w:color="auto"/>
                <w:right w:val="none" w:sz="0" w:space="0" w:color="auto"/>
              </w:divBdr>
            </w:div>
          </w:divsChild>
        </w:div>
        <w:div w:id="383603099">
          <w:marLeft w:val="0"/>
          <w:marRight w:val="0"/>
          <w:marTop w:val="0"/>
          <w:marBottom w:val="0"/>
          <w:divBdr>
            <w:top w:val="none" w:sz="0" w:space="0" w:color="auto"/>
            <w:left w:val="none" w:sz="0" w:space="0" w:color="auto"/>
            <w:bottom w:val="none" w:sz="0" w:space="0" w:color="auto"/>
            <w:right w:val="none" w:sz="0" w:space="0" w:color="auto"/>
          </w:divBdr>
          <w:divsChild>
            <w:div w:id="302733636">
              <w:marLeft w:val="0"/>
              <w:marRight w:val="0"/>
              <w:marTop w:val="0"/>
              <w:marBottom w:val="0"/>
              <w:divBdr>
                <w:top w:val="none" w:sz="0" w:space="0" w:color="auto"/>
                <w:left w:val="none" w:sz="0" w:space="0" w:color="auto"/>
                <w:bottom w:val="none" w:sz="0" w:space="0" w:color="auto"/>
                <w:right w:val="none" w:sz="0" w:space="0" w:color="auto"/>
              </w:divBdr>
            </w:div>
          </w:divsChild>
        </w:div>
        <w:div w:id="387926118">
          <w:marLeft w:val="0"/>
          <w:marRight w:val="0"/>
          <w:marTop w:val="0"/>
          <w:marBottom w:val="0"/>
          <w:divBdr>
            <w:top w:val="none" w:sz="0" w:space="0" w:color="auto"/>
            <w:left w:val="none" w:sz="0" w:space="0" w:color="auto"/>
            <w:bottom w:val="none" w:sz="0" w:space="0" w:color="auto"/>
            <w:right w:val="none" w:sz="0" w:space="0" w:color="auto"/>
          </w:divBdr>
          <w:divsChild>
            <w:div w:id="1689133406">
              <w:marLeft w:val="0"/>
              <w:marRight w:val="0"/>
              <w:marTop w:val="0"/>
              <w:marBottom w:val="0"/>
              <w:divBdr>
                <w:top w:val="none" w:sz="0" w:space="0" w:color="auto"/>
                <w:left w:val="none" w:sz="0" w:space="0" w:color="auto"/>
                <w:bottom w:val="none" w:sz="0" w:space="0" w:color="auto"/>
                <w:right w:val="none" w:sz="0" w:space="0" w:color="auto"/>
              </w:divBdr>
            </w:div>
          </w:divsChild>
        </w:div>
        <w:div w:id="431702470">
          <w:marLeft w:val="0"/>
          <w:marRight w:val="0"/>
          <w:marTop w:val="0"/>
          <w:marBottom w:val="0"/>
          <w:divBdr>
            <w:top w:val="none" w:sz="0" w:space="0" w:color="auto"/>
            <w:left w:val="none" w:sz="0" w:space="0" w:color="auto"/>
            <w:bottom w:val="none" w:sz="0" w:space="0" w:color="auto"/>
            <w:right w:val="none" w:sz="0" w:space="0" w:color="auto"/>
          </w:divBdr>
          <w:divsChild>
            <w:div w:id="1071540108">
              <w:marLeft w:val="0"/>
              <w:marRight w:val="0"/>
              <w:marTop w:val="0"/>
              <w:marBottom w:val="0"/>
              <w:divBdr>
                <w:top w:val="none" w:sz="0" w:space="0" w:color="auto"/>
                <w:left w:val="none" w:sz="0" w:space="0" w:color="auto"/>
                <w:bottom w:val="none" w:sz="0" w:space="0" w:color="auto"/>
                <w:right w:val="none" w:sz="0" w:space="0" w:color="auto"/>
              </w:divBdr>
            </w:div>
          </w:divsChild>
        </w:div>
        <w:div w:id="449859392">
          <w:marLeft w:val="0"/>
          <w:marRight w:val="0"/>
          <w:marTop w:val="0"/>
          <w:marBottom w:val="0"/>
          <w:divBdr>
            <w:top w:val="none" w:sz="0" w:space="0" w:color="auto"/>
            <w:left w:val="none" w:sz="0" w:space="0" w:color="auto"/>
            <w:bottom w:val="none" w:sz="0" w:space="0" w:color="auto"/>
            <w:right w:val="none" w:sz="0" w:space="0" w:color="auto"/>
          </w:divBdr>
          <w:divsChild>
            <w:div w:id="365176915">
              <w:marLeft w:val="0"/>
              <w:marRight w:val="0"/>
              <w:marTop w:val="0"/>
              <w:marBottom w:val="0"/>
              <w:divBdr>
                <w:top w:val="none" w:sz="0" w:space="0" w:color="auto"/>
                <w:left w:val="none" w:sz="0" w:space="0" w:color="auto"/>
                <w:bottom w:val="none" w:sz="0" w:space="0" w:color="auto"/>
                <w:right w:val="none" w:sz="0" w:space="0" w:color="auto"/>
              </w:divBdr>
            </w:div>
          </w:divsChild>
        </w:div>
        <w:div w:id="454760807">
          <w:marLeft w:val="0"/>
          <w:marRight w:val="0"/>
          <w:marTop w:val="0"/>
          <w:marBottom w:val="0"/>
          <w:divBdr>
            <w:top w:val="none" w:sz="0" w:space="0" w:color="auto"/>
            <w:left w:val="none" w:sz="0" w:space="0" w:color="auto"/>
            <w:bottom w:val="none" w:sz="0" w:space="0" w:color="auto"/>
            <w:right w:val="none" w:sz="0" w:space="0" w:color="auto"/>
          </w:divBdr>
          <w:divsChild>
            <w:div w:id="1735270790">
              <w:marLeft w:val="0"/>
              <w:marRight w:val="0"/>
              <w:marTop w:val="0"/>
              <w:marBottom w:val="0"/>
              <w:divBdr>
                <w:top w:val="none" w:sz="0" w:space="0" w:color="auto"/>
                <w:left w:val="none" w:sz="0" w:space="0" w:color="auto"/>
                <w:bottom w:val="none" w:sz="0" w:space="0" w:color="auto"/>
                <w:right w:val="none" w:sz="0" w:space="0" w:color="auto"/>
              </w:divBdr>
            </w:div>
          </w:divsChild>
        </w:div>
        <w:div w:id="468058319">
          <w:marLeft w:val="0"/>
          <w:marRight w:val="0"/>
          <w:marTop w:val="0"/>
          <w:marBottom w:val="0"/>
          <w:divBdr>
            <w:top w:val="none" w:sz="0" w:space="0" w:color="auto"/>
            <w:left w:val="none" w:sz="0" w:space="0" w:color="auto"/>
            <w:bottom w:val="none" w:sz="0" w:space="0" w:color="auto"/>
            <w:right w:val="none" w:sz="0" w:space="0" w:color="auto"/>
          </w:divBdr>
          <w:divsChild>
            <w:div w:id="34239610">
              <w:marLeft w:val="0"/>
              <w:marRight w:val="0"/>
              <w:marTop w:val="0"/>
              <w:marBottom w:val="0"/>
              <w:divBdr>
                <w:top w:val="none" w:sz="0" w:space="0" w:color="auto"/>
                <w:left w:val="none" w:sz="0" w:space="0" w:color="auto"/>
                <w:bottom w:val="none" w:sz="0" w:space="0" w:color="auto"/>
                <w:right w:val="none" w:sz="0" w:space="0" w:color="auto"/>
              </w:divBdr>
            </w:div>
          </w:divsChild>
        </w:div>
        <w:div w:id="481895219">
          <w:marLeft w:val="0"/>
          <w:marRight w:val="0"/>
          <w:marTop w:val="0"/>
          <w:marBottom w:val="0"/>
          <w:divBdr>
            <w:top w:val="none" w:sz="0" w:space="0" w:color="auto"/>
            <w:left w:val="none" w:sz="0" w:space="0" w:color="auto"/>
            <w:bottom w:val="none" w:sz="0" w:space="0" w:color="auto"/>
            <w:right w:val="none" w:sz="0" w:space="0" w:color="auto"/>
          </w:divBdr>
          <w:divsChild>
            <w:div w:id="1959410833">
              <w:marLeft w:val="0"/>
              <w:marRight w:val="0"/>
              <w:marTop w:val="0"/>
              <w:marBottom w:val="0"/>
              <w:divBdr>
                <w:top w:val="none" w:sz="0" w:space="0" w:color="auto"/>
                <w:left w:val="none" w:sz="0" w:space="0" w:color="auto"/>
                <w:bottom w:val="none" w:sz="0" w:space="0" w:color="auto"/>
                <w:right w:val="none" w:sz="0" w:space="0" w:color="auto"/>
              </w:divBdr>
            </w:div>
          </w:divsChild>
        </w:div>
        <w:div w:id="505024786">
          <w:marLeft w:val="0"/>
          <w:marRight w:val="0"/>
          <w:marTop w:val="0"/>
          <w:marBottom w:val="0"/>
          <w:divBdr>
            <w:top w:val="none" w:sz="0" w:space="0" w:color="auto"/>
            <w:left w:val="none" w:sz="0" w:space="0" w:color="auto"/>
            <w:bottom w:val="none" w:sz="0" w:space="0" w:color="auto"/>
            <w:right w:val="none" w:sz="0" w:space="0" w:color="auto"/>
          </w:divBdr>
          <w:divsChild>
            <w:div w:id="9525428">
              <w:marLeft w:val="0"/>
              <w:marRight w:val="0"/>
              <w:marTop w:val="0"/>
              <w:marBottom w:val="0"/>
              <w:divBdr>
                <w:top w:val="none" w:sz="0" w:space="0" w:color="auto"/>
                <w:left w:val="none" w:sz="0" w:space="0" w:color="auto"/>
                <w:bottom w:val="none" w:sz="0" w:space="0" w:color="auto"/>
                <w:right w:val="none" w:sz="0" w:space="0" w:color="auto"/>
              </w:divBdr>
            </w:div>
          </w:divsChild>
        </w:div>
        <w:div w:id="506865227">
          <w:marLeft w:val="0"/>
          <w:marRight w:val="0"/>
          <w:marTop w:val="0"/>
          <w:marBottom w:val="0"/>
          <w:divBdr>
            <w:top w:val="none" w:sz="0" w:space="0" w:color="auto"/>
            <w:left w:val="none" w:sz="0" w:space="0" w:color="auto"/>
            <w:bottom w:val="none" w:sz="0" w:space="0" w:color="auto"/>
            <w:right w:val="none" w:sz="0" w:space="0" w:color="auto"/>
          </w:divBdr>
          <w:divsChild>
            <w:div w:id="1117409430">
              <w:marLeft w:val="0"/>
              <w:marRight w:val="0"/>
              <w:marTop w:val="0"/>
              <w:marBottom w:val="0"/>
              <w:divBdr>
                <w:top w:val="none" w:sz="0" w:space="0" w:color="auto"/>
                <w:left w:val="none" w:sz="0" w:space="0" w:color="auto"/>
                <w:bottom w:val="none" w:sz="0" w:space="0" w:color="auto"/>
                <w:right w:val="none" w:sz="0" w:space="0" w:color="auto"/>
              </w:divBdr>
            </w:div>
          </w:divsChild>
        </w:div>
        <w:div w:id="518277903">
          <w:marLeft w:val="0"/>
          <w:marRight w:val="0"/>
          <w:marTop w:val="0"/>
          <w:marBottom w:val="0"/>
          <w:divBdr>
            <w:top w:val="none" w:sz="0" w:space="0" w:color="auto"/>
            <w:left w:val="none" w:sz="0" w:space="0" w:color="auto"/>
            <w:bottom w:val="none" w:sz="0" w:space="0" w:color="auto"/>
            <w:right w:val="none" w:sz="0" w:space="0" w:color="auto"/>
          </w:divBdr>
          <w:divsChild>
            <w:div w:id="1360545888">
              <w:marLeft w:val="0"/>
              <w:marRight w:val="0"/>
              <w:marTop w:val="0"/>
              <w:marBottom w:val="0"/>
              <w:divBdr>
                <w:top w:val="none" w:sz="0" w:space="0" w:color="auto"/>
                <w:left w:val="none" w:sz="0" w:space="0" w:color="auto"/>
                <w:bottom w:val="none" w:sz="0" w:space="0" w:color="auto"/>
                <w:right w:val="none" w:sz="0" w:space="0" w:color="auto"/>
              </w:divBdr>
            </w:div>
          </w:divsChild>
        </w:div>
        <w:div w:id="540556550">
          <w:marLeft w:val="0"/>
          <w:marRight w:val="0"/>
          <w:marTop w:val="0"/>
          <w:marBottom w:val="0"/>
          <w:divBdr>
            <w:top w:val="none" w:sz="0" w:space="0" w:color="auto"/>
            <w:left w:val="none" w:sz="0" w:space="0" w:color="auto"/>
            <w:bottom w:val="none" w:sz="0" w:space="0" w:color="auto"/>
            <w:right w:val="none" w:sz="0" w:space="0" w:color="auto"/>
          </w:divBdr>
          <w:divsChild>
            <w:div w:id="1907841585">
              <w:marLeft w:val="0"/>
              <w:marRight w:val="0"/>
              <w:marTop w:val="0"/>
              <w:marBottom w:val="0"/>
              <w:divBdr>
                <w:top w:val="none" w:sz="0" w:space="0" w:color="auto"/>
                <w:left w:val="none" w:sz="0" w:space="0" w:color="auto"/>
                <w:bottom w:val="none" w:sz="0" w:space="0" w:color="auto"/>
                <w:right w:val="none" w:sz="0" w:space="0" w:color="auto"/>
              </w:divBdr>
            </w:div>
          </w:divsChild>
        </w:div>
        <w:div w:id="541982815">
          <w:marLeft w:val="0"/>
          <w:marRight w:val="0"/>
          <w:marTop w:val="0"/>
          <w:marBottom w:val="0"/>
          <w:divBdr>
            <w:top w:val="none" w:sz="0" w:space="0" w:color="auto"/>
            <w:left w:val="none" w:sz="0" w:space="0" w:color="auto"/>
            <w:bottom w:val="none" w:sz="0" w:space="0" w:color="auto"/>
            <w:right w:val="none" w:sz="0" w:space="0" w:color="auto"/>
          </w:divBdr>
          <w:divsChild>
            <w:div w:id="238759253">
              <w:marLeft w:val="0"/>
              <w:marRight w:val="0"/>
              <w:marTop w:val="0"/>
              <w:marBottom w:val="0"/>
              <w:divBdr>
                <w:top w:val="none" w:sz="0" w:space="0" w:color="auto"/>
                <w:left w:val="none" w:sz="0" w:space="0" w:color="auto"/>
                <w:bottom w:val="none" w:sz="0" w:space="0" w:color="auto"/>
                <w:right w:val="none" w:sz="0" w:space="0" w:color="auto"/>
              </w:divBdr>
            </w:div>
          </w:divsChild>
        </w:div>
        <w:div w:id="598606841">
          <w:marLeft w:val="0"/>
          <w:marRight w:val="0"/>
          <w:marTop w:val="0"/>
          <w:marBottom w:val="0"/>
          <w:divBdr>
            <w:top w:val="none" w:sz="0" w:space="0" w:color="auto"/>
            <w:left w:val="none" w:sz="0" w:space="0" w:color="auto"/>
            <w:bottom w:val="none" w:sz="0" w:space="0" w:color="auto"/>
            <w:right w:val="none" w:sz="0" w:space="0" w:color="auto"/>
          </w:divBdr>
          <w:divsChild>
            <w:div w:id="541017420">
              <w:marLeft w:val="0"/>
              <w:marRight w:val="0"/>
              <w:marTop w:val="0"/>
              <w:marBottom w:val="0"/>
              <w:divBdr>
                <w:top w:val="none" w:sz="0" w:space="0" w:color="auto"/>
                <w:left w:val="none" w:sz="0" w:space="0" w:color="auto"/>
                <w:bottom w:val="none" w:sz="0" w:space="0" w:color="auto"/>
                <w:right w:val="none" w:sz="0" w:space="0" w:color="auto"/>
              </w:divBdr>
            </w:div>
          </w:divsChild>
        </w:div>
        <w:div w:id="614873776">
          <w:marLeft w:val="0"/>
          <w:marRight w:val="0"/>
          <w:marTop w:val="0"/>
          <w:marBottom w:val="0"/>
          <w:divBdr>
            <w:top w:val="none" w:sz="0" w:space="0" w:color="auto"/>
            <w:left w:val="none" w:sz="0" w:space="0" w:color="auto"/>
            <w:bottom w:val="none" w:sz="0" w:space="0" w:color="auto"/>
            <w:right w:val="none" w:sz="0" w:space="0" w:color="auto"/>
          </w:divBdr>
          <w:divsChild>
            <w:div w:id="1686401056">
              <w:marLeft w:val="0"/>
              <w:marRight w:val="0"/>
              <w:marTop w:val="0"/>
              <w:marBottom w:val="0"/>
              <w:divBdr>
                <w:top w:val="none" w:sz="0" w:space="0" w:color="auto"/>
                <w:left w:val="none" w:sz="0" w:space="0" w:color="auto"/>
                <w:bottom w:val="none" w:sz="0" w:space="0" w:color="auto"/>
                <w:right w:val="none" w:sz="0" w:space="0" w:color="auto"/>
              </w:divBdr>
            </w:div>
          </w:divsChild>
        </w:div>
        <w:div w:id="632949665">
          <w:marLeft w:val="0"/>
          <w:marRight w:val="0"/>
          <w:marTop w:val="0"/>
          <w:marBottom w:val="0"/>
          <w:divBdr>
            <w:top w:val="none" w:sz="0" w:space="0" w:color="auto"/>
            <w:left w:val="none" w:sz="0" w:space="0" w:color="auto"/>
            <w:bottom w:val="none" w:sz="0" w:space="0" w:color="auto"/>
            <w:right w:val="none" w:sz="0" w:space="0" w:color="auto"/>
          </w:divBdr>
          <w:divsChild>
            <w:div w:id="2131505300">
              <w:marLeft w:val="0"/>
              <w:marRight w:val="0"/>
              <w:marTop w:val="0"/>
              <w:marBottom w:val="0"/>
              <w:divBdr>
                <w:top w:val="none" w:sz="0" w:space="0" w:color="auto"/>
                <w:left w:val="none" w:sz="0" w:space="0" w:color="auto"/>
                <w:bottom w:val="none" w:sz="0" w:space="0" w:color="auto"/>
                <w:right w:val="none" w:sz="0" w:space="0" w:color="auto"/>
              </w:divBdr>
            </w:div>
          </w:divsChild>
        </w:div>
        <w:div w:id="666859039">
          <w:marLeft w:val="0"/>
          <w:marRight w:val="0"/>
          <w:marTop w:val="0"/>
          <w:marBottom w:val="0"/>
          <w:divBdr>
            <w:top w:val="none" w:sz="0" w:space="0" w:color="auto"/>
            <w:left w:val="none" w:sz="0" w:space="0" w:color="auto"/>
            <w:bottom w:val="none" w:sz="0" w:space="0" w:color="auto"/>
            <w:right w:val="none" w:sz="0" w:space="0" w:color="auto"/>
          </w:divBdr>
          <w:divsChild>
            <w:div w:id="424425253">
              <w:marLeft w:val="0"/>
              <w:marRight w:val="0"/>
              <w:marTop w:val="0"/>
              <w:marBottom w:val="0"/>
              <w:divBdr>
                <w:top w:val="none" w:sz="0" w:space="0" w:color="auto"/>
                <w:left w:val="none" w:sz="0" w:space="0" w:color="auto"/>
                <w:bottom w:val="none" w:sz="0" w:space="0" w:color="auto"/>
                <w:right w:val="none" w:sz="0" w:space="0" w:color="auto"/>
              </w:divBdr>
            </w:div>
          </w:divsChild>
        </w:div>
        <w:div w:id="682244445">
          <w:marLeft w:val="0"/>
          <w:marRight w:val="0"/>
          <w:marTop w:val="0"/>
          <w:marBottom w:val="0"/>
          <w:divBdr>
            <w:top w:val="none" w:sz="0" w:space="0" w:color="auto"/>
            <w:left w:val="none" w:sz="0" w:space="0" w:color="auto"/>
            <w:bottom w:val="none" w:sz="0" w:space="0" w:color="auto"/>
            <w:right w:val="none" w:sz="0" w:space="0" w:color="auto"/>
          </w:divBdr>
          <w:divsChild>
            <w:div w:id="1536774801">
              <w:marLeft w:val="0"/>
              <w:marRight w:val="0"/>
              <w:marTop w:val="0"/>
              <w:marBottom w:val="0"/>
              <w:divBdr>
                <w:top w:val="none" w:sz="0" w:space="0" w:color="auto"/>
                <w:left w:val="none" w:sz="0" w:space="0" w:color="auto"/>
                <w:bottom w:val="none" w:sz="0" w:space="0" w:color="auto"/>
                <w:right w:val="none" w:sz="0" w:space="0" w:color="auto"/>
              </w:divBdr>
            </w:div>
          </w:divsChild>
        </w:div>
        <w:div w:id="711854029">
          <w:marLeft w:val="0"/>
          <w:marRight w:val="0"/>
          <w:marTop w:val="0"/>
          <w:marBottom w:val="0"/>
          <w:divBdr>
            <w:top w:val="none" w:sz="0" w:space="0" w:color="auto"/>
            <w:left w:val="none" w:sz="0" w:space="0" w:color="auto"/>
            <w:bottom w:val="none" w:sz="0" w:space="0" w:color="auto"/>
            <w:right w:val="none" w:sz="0" w:space="0" w:color="auto"/>
          </w:divBdr>
          <w:divsChild>
            <w:div w:id="531503727">
              <w:marLeft w:val="0"/>
              <w:marRight w:val="0"/>
              <w:marTop w:val="0"/>
              <w:marBottom w:val="0"/>
              <w:divBdr>
                <w:top w:val="none" w:sz="0" w:space="0" w:color="auto"/>
                <w:left w:val="none" w:sz="0" w:space="0" w:color="auto"/>
                <w:bottom w:val="none" w:sz="0" w:space="0" w:color="auto"/>
                <w:right w:val="none" w:sz="0" w:space="0" w:color="auto"/>
              </w:divBdr>
            </w:div>
          </w:divsChild>
        </w:div>
        <w:div w:id="741224257">
          <w:marLeft w:val="0"/>
          <w:marRight w:val="0"/>
          <w:marTop w:val="0"/>
          <w:marBottom w:val="0"/>
          <w:divBdr>
            <w:top w:val="none" w:sz="0" w:space="0" w:color="auto"/>
            <w:left w:val="none" w:sz="0" w:space="0" w:color="auto"/>
            <w:bottom w:val="none" w:sz="0" w:space="0" w:color="auto"/>
            <w:right w:val="none" w:sz="0" w:space="0" w:color="auto"/>
          </w:divBdr>
          <w:divsChild>
            <w:div w:id="1884755016">
              <w:marLeft w:val="0"/>
              <w:marRight w:val="0"/>
              <w:marTop w:val="0"/>
              <w:marBottom w:val="0"/>
              <w:divBdr>
                <w:top w:val="none" w:sz="0" w:space="0" w:color="auto"/>
                <w:left w:val="none" w:sz="0" w:space="0" w:color="auto"/>
                <w:bottom w:val="none" w:sz="0" w:space="0" w:color="auto"/>
                <w:right w:val="none" w:sz="0" w:space="0" w:color="auto"/>
              </w:divBdr>
            </w:div>
          </w:divsChild>
        </w:div>
        <w:div w:id="763451799">
          <w:marLeft w:val="0"/>
          <w:marRight w:val="0"/>
          <w:marTop w:val="0"/>
          <w:marBottom w:val="0"/>
          <w:divBdr>
            <w:top w:val="none" w:sz="0" w:space="0" w:color="auto"/>
            <w:left w:val="none" w:sz="0" w:space="0" w:color="auto"/>
            <w:bottom w:val="none" w:sz="0" w:space="0" w:color="auto"/>
            <w:right w:val="none" w:sz="0" w:space="0" w:color="auto"/>
          </w:divBdr>
          <w:divsChild>
            <w:div w:id="985204878">
              <w:marLeft w:val="0"/>
              <w:marRight w:val="0"/>
              <w:marTop w:val="0"/>
              <w:marBottom w:val="0"/>
              <w:divBdr>
                <w:top w:val="none" w:sz="0" w:space="0" w:color="auto"/>
                <w:left w:val="none" w:sz="0" w:space="0" w:color="auto"/>
                <w:bottom w:val="none" w:sz="0" w:space="0" w:color="auto"/>
                <w:right w:val="none" w:sz="0" w:space="0" w:color="auto"/>
              </w:divBdr>
            </w:div>
          </w:divsChild>
        </w:div>
        <w:div w:id="788209733">
          <w:marLeft w:val="0"/>
          <w:marRight w:val="0"/>
          <w:marTop w:val="0"/>
          <w:marBottom w:val="0"/>
          <w:divBdr>
            <w:top w:val="none" w:sz="0" w:space="0" w:color="auto"/>
            <w:left w:val="none" w:sz="0" w:space="0" w:color="auto"/>
            <w:bottom w:val="none" w:sz="0" w:space="0" w:color="auto"/>
            <w:right w:val="none" w:sz="0" w:space="0" w:color="auto"/>
          </w:divBdr>
          <w:divsChild>
            <w:div w:id="1018122764">
              <w:marLeft w:val="0"/>
              <w:marRight w:val="0"/>
              <w:marTop w:val="0"/>
              <w:marBottom w:val="0"/>
              <w:divBdr>
                <w:top w:val="none" w:sz="0" w:space="0" w:color="auto"/>
                <w:left w:val="none" w:sz="0" w:space="0" w:color="auto"/>
                <w:bottom w:val="none" w:sz="0" w:space="0" w:color="auto"/>
                <w:right w:val="none" w:sz="0" w:space="0" w:color="auto"/>
              </w:divBdr>
            </w:div>
          </w:divsChild>
        </w:div>
        <w:div w:id="792598302">
          <w:marLeft w:val="0"/>
          <w:marRight w:val="0"/>
          <w:marTop w:val="0"/>
          <w:marBottom w:val="0"/>
          <w:divBdr>
            <w:top w:val="none" w:sz="0" w:space="0" w:color="auto"/>
            <w:left w:val="none" w:sz="0" w:space="0" w:color="auto"/>
            <w:bottom w:val="none" w:sz="0" w:space="0" w:color="auto"/>
            <w:right w:val="none" w:sz="0" w:space="0" w:color="auto"/>
          </w:divBdr>
          <w:divsChild>
            <w:div w:id="493842001">
              <w:marLeft w:val="0"/>
              <w:marRight w:val="0"/>
              <w:marTop w:val="0"/>
              <w:marBottom w:val="0"/>
              <w:divBdr>
                <w:top w:val="none" w:sz="0" w:space="0" w:color="auto"/>
                <w:left w:val="none" w:sz="0" w:space="0" w:color="auto"/>
                <w:bottom w:val="none" w:sz="0" w:space="0" w:color="auto"/>
                <w:right w:val="none" w:sz="0" w:space="0" w:color="auto"/>
              </w:divBdr>
            </w:div>
          </w:divsChild>
        </w:div>
        <w:div w:id="800609552">
          <w:marLeft w:val="0"/>
          <w:marRight w:val="0"/>
          <w:marTop w:val="0"/>
          <w:marBottom w:val="0"/>
          <w:divBdr>
            <w:top w:val="none" w:sz="0" w:space="0" w:color="auto"/>
            <w:left w:val="none" w:sz="0" w:space="0" w:color="auto"/>
            <w:bottom w:val="none" w:sz="0" w:space="0" w:color="auto"/>
            <w:right w:val="none" w:sz="0" w:space="0" w:color="auto"/>
          </w:divBdr>
          <w:divsChild>
            <w:div w:id="1928223611">
              <w:marLeft w:val="0"/>
              <w:marRight w:val="0"/>
              <w:marTop w:val="0"/>
              <w:marBottom w:val="0"/>
              <w:divBdr>
                <w:top w:val="none" w:sz="0" w:space="0" w:color="auto"/>
                <w:left w:val="none" w:sz="0" w:space="0" w:color="auto"/>
                <w:bottom w:val="none" w:sz="0" w:space="0" w:color="auto"/>
                <w:right w:val="none" w:sz="0" w:space="0" w:color="auto"/>
              </w:divBdr>
            </w:div>
          </w:divsChild>
        </w:div>
        <w:div w:id="826363293">
          <w:marLeft w:val="0"/>
          <w:marRight w:val="0"/>
          <w:marTop w:val="0"/>
          <w:marBottom w:val="0"/>
          <w:divBdr>
            <w:top w:val="none" w:sz="0" w:space="0" w:color="auto"/>
            <w:left w:val="none" w:sz="0" w:space="0" w:color="auto"/>
            <w:bottom w:val="none" w:sz="0" w:space="0" w:color="auto"/>
            <w:right w:val="none" w:sz="0" w:space="0" w:color="auto"/>
          </w:divBdr>
          <w:divsChild>
            <w:div w:id="361832645">
              <w:marLeft w:val="0"/>
              <w:marRight w:val="0"/>
              <w:marTop w:val="0"/>
              <w:marBottom w:val="0"/>
              <w:divBdr>
                <w:top w:val="none" w:sz="0" w:space="0" w:color="auto"/>
                <w:left w:val="none" w:sz="0" w:space="0" w:color="auto"/>
                <w:bottom w:val="none" w:sz="0" w:space="0" w:color="auto"/>
                <w:right w:val="none" w:sz="0" w:space="0" w:color="auto"/>
              </w:divBdr>
            </w:div>
          </w:divsChild>
        </w:div>
        <w:div w:id="827869901">
          <w:marLeft w:val="0"/>
          <w:marRight w:val="0"/>
          <w:marTop w:val="0"/>
          <w:marBottom w:val="0"/>
          <w:divBdr>
            <w:top w:val="none" w:sz="0" w:space="0" w:color="auto"/>
            <w:left w:val="none" w:sz="0" w:space="0" w:color="auto"/>
            <w:bottom w:val="none" w:sz="0" w:space="0" w:color="auto"/>
            <w:right w:val="none" w:sz="0" w:space="0" w:color="auto"/>
          </w:divBdr>
          <w:divsChild>
            <w:div w:id="825167664">
              <w:marLeft w:val="0"/>
              <w:marRight w:val="0"/>
              <w:marTop w:val="0"/>
              <w:marBottom w:val="0"/>
              <w:divBdr>
                <w:top w:val="none" w:sz="0" w:space="0" w:color="auto"/>
                <w:left w:val="none" w:sz="0" w:space="0" w:color="auto"/>
                <w:bottom w:val="none" w:sz="0" w:space="0" w:color="auto"/>
                <w:right w:val="none" w:sz="0" w:space="0" w:color="auto"/>
              </w:divBdr>
            </w:div>
          </w:divsChild>
        </w:div>
        <w:div w:id="888034720">
          <w:marLeft w:val="0"/>
          <w:marRight w:val="0"/>
          <w:marTop w:val="0"/>
          <w:marBottom w:val="0"/>
          <w:divBdr>
            <w:top w:val="none" w:sz="0" w:space="0" w:color="auto"/>
            <w:left w:val="none" w:sz="0" w:space="0" w:color="auto"/>
            <w:bottom w:val="none" w:sz="0" w:space="0" w:color="auto"/>
            <w:right w:val="none" w:sz="0" w:space="0" w:color="auto"/>
          </w:divBdr>
          <w:divsChild>
            <w:div w:id="172653541">
              <w:marLeft w:val="0"/>
              <w:marRight w:val="0"/>
              <w:marTop w:val="0"/>
              <w:marBottom w:val="0"/>
              <w:divBdr>
                <w:top w:val="none" w:sz="0" w:space="0" w:color="auto"/>
                <w:left w:val="none" w:sz="0" w:space="0" w:color="auto"/>
                <w:bottom w:val="none" w:sz="0" w:space="0" w:color="auto"/>
                <w:right w:val="none" w:sz="0" w:space="0" w:color="auto"/>
              </w:divBdr>
            </w:div>
          </w:divsChild>
        </w:div>
        <w:div w:id="893737756">
          <w:marLeft w:val="0"/>
          <w:marRight w:val="0"/>
          <w:marTop w:val="0"/>
          <w:marBottom w:val="0"/>
          <w:divBdr>
            <w:top w:val="none" w:sz="0" w:space="0" w:color="auto"/>
            <w:left w:val="none" w:sz="0" w:space="0" w:color="auto"/>
            <w:bottom w:val="none" w:sz="0" w:space="0" w:color="auto"/>
            <w:right w:val="none" w:sz="0" w:space="0" w:color="auto"/>
          </w:divBdr>
          <w:divsChild>
            <w:div w:id="1649818476">
              <w:marLeft w:val="0"/>
              <w:marRight w:val="0"/>
              <w:marTop w:val="0"/>
              <w:marBottom w:val="0"/>
              <w:divBdr>
                <w:top w:val="none" w:sz="0" w:space="0" w:color="auto"/>
                <w:left w:val="none" w:sz="0" w:space="0" w:color="auto"/>
                <w:bottom w:val="none" w:sz="0" w:space="0" w:color="auto"/>
                <w:right w:val="none" w:sz="0" w:space="0" w:color="auto"/>
              </w:divBdr>
            </w:div>
          </w:divsChild>
        </w:div>
        <w:div w:id="911890851">
          <w:marLeft w:val="0"/>
          <w:marRight w:val="0"/>
          <w:marTop w:val="0"/>
          <w:marBottom w:val="0"/>
          <w:divBdr>
            <w:top w:val="none" w:sz="0" w:space="0" w:color="auto"/>
            <w:left w:val="none" w:sz="0" w:space="0" w:color="auto"/>
            <w:bottom w:val="none" w:sz="0" w:space="0" w:color="auto"/>
            <w:right w:val="none" w:sz="0" w:space="0" w:color="auto"/>
          </w:divBdr>
          <w:divsChild>
            <w:div w:id="499740798">
              <w:marLeft w:val="0"/>
              <w:marRight w:val="0"/>
              <w:marTop w:val="0"/>
              <w:marBottom w:val="0"/>
              <w:divBdr>
                <w:top w:val="none" w:sz="0" w:space="0" w:color="auto"/>
                <w:left w:val="none" w:sz="0" w:space="0" w:color="auto"/>
                <w:bottom w:val="none" w:sz="0" w:space="0" w:color="auto"/>
                <w:right w:val="none" w:sz="0" w:space="0" w:color="auto"/>
              </w:divBdr>
            </w:div>
          </w:divsChild>
        </w:div>
        <w:div w:id="940991639">
          <w:marLeft w:val="0"/>
          <w:marRight w:val="0"/>
          <w:marTop w:val="0"/>
          <w:marBottom w:val="0"/>
          <w:divBdr>
            <w:top w:val="none" w:sz="0" w:space="0" w:color="auto"/>
            <w:left w:val="none" w:sz="0" w:space="0" w:color="auto"/>
            <w:bottom w:val="none" w:sz="0" w:space="0" w:color="auto"/>
            <w:right w:val="none" w:sz="0" w:space="0" w:color="auto"/>
          </w:divBdr>
          <w:divsChild>
            <w:div w:id="911814297">
              <w:marLeft w:val="0"/>
              <w:marRight w:val="0"/>
              <w:marTop w:val="0"/>
              <w:marBottom w:val="0"/>
              <w:divBdr>
                <w:top w:val="none" w:sz="0" w:space="0" w:color="auto"/>
                <w:left w:val="none" w:sz="0" w:space="0" w:color="auto"/>
                <w:bottom w:val="none" w:sz="0" w:space="0" w:color="auto"/>
                <w:right w:val="none" w:sz="0" w:space="0" w:color="auto"/>
              </w:divBdr>
            </w:div>
          </w:divsChild>
        </w:div>
        <w:div w:id="953556582">
          <w:marLeft w:val="0"/>
          <w:marRight w:val="0"/>
          <w:marTop w:val="0"/>
          <w:marBottom w:val="0"/>
          <w:divBdr>
            <w:top w:val="none" w:sz="0" w:space="0" w:color="auto"/>
            <w:left w:val="none" w:sz="0" w:space="0" w:color="auto"/>
            <w:bottom w:val="none" w:sz="0" w:space="0" w:color="auto"/>
            <w:right w:val="none" w:sz="0" w:space="0" w:color="auto"/>
          </w:divBdr>
          <w:divsChild>
            <w:div w:id="1919056269">
              <w:marLeft w:val="0"/>
              <w:marRight w:val="0"/>
              <w:marTop w:val="0"/>
              <w:marBottom w:val="0"/>
              <w:divBdr>
                <w:top w:val="none" w:sz="0" w:space="0" w:color="auto"/>
                <w:left w:val="none" w:sz="0" w:space="0" w:color="auto"/>
                <w:bottom w:val="none" w:sz="0" w:space="0" w:color="auto"/>
                <w:right w:val="none" w:sz="0" w:space="0" w:color="auto"/>
              </w:divBdr>
            </w:div>
          </w:divsChild>
        </w:div>
        <w:div w:id="1030882787">
          <w:marLeft w:val="0"/>
          <w:marRight w:val="0"/>
          <w:marTop w:val="0"/>
          <w:marBottom w:val="0"/>
          <w:divBdr>
            <w:top w:val="none" w:sz="0" w:space="0" w:color="auto"/>
            <w:left w:val="none" w:sz="0" w:space="0" w:color="auto"/>
            <w:bottom w:val="none" w:sz="0" w:space="0" w:color="auto"/>
            <w:right w:val="none" w:sz="0" w:space="0" w:color="auto"/>
          </w:divBdr>
          <w:divsChild>
            <w:div w:id="1816412086">
              <w:marLeft w:val="0"/>
              <w:marRight w:val="0"/>
              <w:marTop w:val="0"/>
              <w:marBottom w:val="0"/>
              <w:divBdr>
                <w:top w:val="none" w:sz="0" w:space="0" w:color="auto"/>
                <w:left w:val="none" w:sz="0" w:space="0" w:color="auto"/>
                <w:bottom w:val="none" w:sz="0" w:space="0" w:color="auto"/>
                <w:right w:val="none" w:sz="0" w:space="0" w:color="auto"/>
              </w:divBdr>
            </w:div>
          </w:divsChild>
        </w:div>
        <w:div w:id="1080522898">
          <w:marLeft w:val="0"/>
          <w:marRight w:val="0"/>
          <w:marTop w:val="0"/>
          <w:marBottom w:val="0"/>
          <w:divBdr>
            <w:top w:val="none" w:sz="0" w:space="0" w:color="auto"/>
            <w:left w:val="none" w:sz="0" w:space="0" w:color="auto"/>
            <w:bottom w:val="none" w:sz="0" w:space="0" w:color="auto"/>
            <w:right w:val="none" w:sz="0" w:space="0" w:color="auto"/>
          </w:divBdr>
          <w:divsChild>
            <w:div w:id="65878986">
              <w:marLeft w:val="0"/>
              <w:marRight w:val="0"/>
              <w:marTop w:val="0"/>
              <w:marBottom w:val="0"/>
              <w:divBdr>
                <w:top w:val="none" w:sz="0" w:space="0" w:color="auto"/>
                <w:left w:val="none" w:sz="0" w:space="0" w:color="auto"/>
                <w:bottom w:val="none" w:sz="0" w:space="0" w:color="auto"/>
                <w:right w:val="none" w:sz="0" w:space="0" w:color="auto"/>
              </w:divBdr>
            </w:div>
          </w:divsChild>
        </w:div>
        <w:div w:id="1081096706">
          <w:marLeft w:val="0"/>
          <w:marRight w:val="0"/>
          <w:marTop w:val="0"/>
          <w:marBottom w:val="0"/>
          <w:divBdr>
            <w:top w:val="none" w:sz="0" w:space="0" w:color="auto"/>
            <w:left w:val="none" w:sz="0" w:space="0" w:color="auto"/>
            <w:bottom w:val="none" w:sz="0" w:space="0" w:color="auto"/>
            <w:right w:val="none" w:sz="0" w:space="0" w:color="auto"/>
          </w:divBdr>
          <w:divsChild>
            <w:div w:id="606354728">
              <w:marLeft w:val="0"/>
              <w:marRight w:val="0"/>
              <w:marTop w:val="0"/>
              <w:marBottom w:val="0"/>
              <w:divBdr>
                <w:top w:val="none" w:sz="0" w:space="0" w:color="auto"/>
                <w:left w:val="none" w:sz="0" w:space="0" w:color="auto"/>
                <w:bottom w:val="none" w:sz="0" w:space="0" w:color="auto"/>
                <w:right w:val="none" w:sz="0" w:space="0" w:color="auto"/>
              </w:divBdr>
            </w:div>
          </w:divsChild>
        </w:div>
        <w:div w:id="1083651395">
          <w:marLeft w:val="0"/>
          <w:marRight w:val="0"/>
          <w:marTop w:val="0"/>
          <w:marBottom w:val="0"/>
          <w:divBdr>
            <w:top w:val="none" w:sz="0" w:space="0" w:color="auto"/>
            <w:left w:val="none" w:sz="0" w:space="0" w:color="auto"/>
            <w:bottom w:val="none" w:sz="0" w:space="0" w:color="auto"/>
            <w:right w:val="none" w:sz="0" w:space="0" w:color="auto"/>
          </w:divBdr>
          <w:divsChild>
            <w:div w:id="1097554635">
              <w:marLeft w:val="0"/>
              <w:marRight w:val="0"/>
              <w:marTop w:val="0"/>
              <w:marBottom w:val="0"/>
              <w:divBdr>
                <w:top w:val="none" w:sz="0" w:space="0" w:color="auto"/>
                <w:left w:val="none" w:sz="0" w:space="0" w:color="auto"/>
                <w:bottom w:val="none" w:sz="0" w:space="0" w:color="auto"/>
                <w:right w:val="none" w:sz="0" w:space="0" w:color="auto"/>
              </w:divBdr>
            </w:div>
          </w:divsChild>
        </w:div>
        <w:div w:id="1085496149">
          <w:marLeft w:val="0"/>
          <w:marRight w:val="0"/>
          <w:marTop w:val="0"/>
          <w:marBottom w:val="0"/>
          <w:divBdr>
            <w:top w:val="none" w:sz="0" w:space="0" w:color="auto"/>
            <w:left w:val="none" w:sz="0" w:space="0" w:color="auto"/>
            <w:bottom w:val="none" w:sz="0" w:space="0" w:color="auto"/>
            <w:right w:val="none" w:sz="0" w:space="0" w:color="auto"/>
          </w:divBdr>
          <w:divsChild>
            <w:div w:id="1796095125">
              <w:marLeft w:val="0"/>
              <w:marRight w:val="0"/>
              <w:marTop w:val="0"/>
              <w:marBottom w:val="0"/>
              <w:divBdr>
                <w:top w:val="none" w:sz="0" w:space="0" w:color="auto"/>
                <w:left w:val="none" w:sz="0" w:space="0" w:color="auto"/>
                <w:bottom w:val="none" w:sz="0" w:space="0" w:color="auto"/>
                <w:right w:val="none" w:sz="0" w:space="0" w:color="auto"/>
              </w:divBdr>
            </w:div>
          </w:divsChild>
        </w:div>
        <w:div w:id="1085761305">
          <w:marLeft w:val="0"/>
          <w:marRight w:val="0"/>
          <w:marTop w:val="0"/>
          <w:marBottom w:val="0"/>
          <w:divBdr>
            <w:top w:val="none" w:sz="0" w:space="0" w:color="auto"/>
            <w:left w:val="none" w:sz="0" w:space="0" w:color="auto"/>
            <w:bottom w:val="none" w:sz="0" w:space="0" w:color="auto"/>
            <w:right w:val="none" w:sz="0" w:space="0" w:color="auto"/>
          </w:divBdr>
          <w:divsChild>
            <w:div w:id="397019488">
              <w:marLeft w:val="0"/>
              <w:marRight w:val="0"/>
              <w:marTop w:val="0"/>
              <w:marBottom w:val="0"/>
              <w:divBdr>
                <w:top w:val="none" w:sz="0" w:space="0" w:color="auto"/>
                <w:left w:val="none" w:sz="0" w:space="0" w:color="auto"/>
                <w:bottom w:val="none" w:sz="0" w:space="0" w:color="auto"/>
                <w:right w:val="none" w:sz="0" w:space="0" w:color="auto"/>
              </w:divBdr>
            </w:div>
          </w:divsChild>
        </w:div>
        <w:div w:id="1113787748">
          <w:marLeft w:val="0"/>
          <w:marRight w:val="0"/>
          <w:marTop w:val="0"/>
          <w:marBottom w:val="0"/>
          <w:divBdr>
            <w:top w:val="none" w:sz="0" w:space="0" w:color="auto"/>
            <w:left w:val="none" w:sz="0" w:space="0" w:color="auto"/>
            <w:bottom w:val="none" w:sz="0" w:space="0" w:color="auto"/>
            <w:right w:val="none" w:sz="0" w:space="0" w:color="auto"/>
          </w:divBdr>
          <w:divsChild>
            <w:div w:id="1500659111">
              <w:marLeft w:val="0"/>
              <w:marRight w:val="0"/>
              <w:marTop w:val="0"/>
              <w:marBottom w:val="0"/>
              <w:divBdr>
                <w:top w:val="none" w:sz="0" w:space="0" w:color="auto"/>
                <w:left w:val="none" w:sz="0" w:space="0" w:color="auto"/>
                <w:bottom w:val="none" w:sz="0" w:space="0" w:color="auto"/>
                <w:right w:val="none" w:sz="0" w:space="0" w:color="auto"/>
              </w:divBdr>
            </w:div>
          </w:divsChild>
        </w:div>
        <w:div w:id="1124614832">
          <w:marLeft w:val="0"/>
          <w:marRight w:val="0"/>
          <w:marTop w:val="0"/>
          <w:marBottom w:val="0"/>
          <w:divBdr>
            <w:top w:val="none" w:sz="0" w:space="0" w:color="auto"/>
            <w:left w:val="none" w:sz="0" w:space="0" w:color="auto"/>
            <w:bottom w:val="none" w:sz="0" w:space="0" w:color="auto"/>
            <w:right w:val="none" w:sz="0" w:space="0" w:color="auto"/>
          </w:divBdr>
          <w:divsChild>
            <w:div w:id="1952393397">
              <w:marLeft w:val="0"/>
              <w:marRight w:val="0"/>
              <w:marTop w:val="0"/>
              <w:marBottom w:val="0"/>
              <w:divBdr>
                <w:top w:val="none" w:sz="0" w:space="0" w:color="auto"/>
                <w:left w:val="none" w:sz="0" w:space="0" w:color="auto"/>
                <w:bottom w:val="none" w:sz="0" w:space="0" w:color="auto"/>
                <w:right w:val="none" w:sz="0" w:space="0" w:color="auto"/>
              </w:divBdr>
            </w:div>
          </w:divsChild>
        </w:div>
        <w:div w:id="1149711088">
          <w:marLeft w:val="0"/>
          <w:marRight w:val="0"/>
          <w:marTop w:val="0"/>
          <w:marBottom w:val="0"/>
          <w:divBdr>
            <w:top w:val="none" w:sz="0" w:space="0" w:color="auto"/>
            <w:left w:val="none" w:sz="0" w:space="0" w:color="auto"/>
            <w:bottom w:val="none" w:sz="0" w:space="0" w:color="auto"/>
            <w:right w:val="none" w:sz="0" w:space="0" w:color="auto"/>
          </w:divBdr>
          <w:divsChild>
            <w:div w:id="1427118130">
              <w:marLeft w:val="0"/>
              <w:marRight w:val="0"/>
              <w:marTop w:val="0"/>
              <w:marBottom w:val="0"/>
              <w:divBdr>
                <w:top w:val="none" w:sz="0" w:space="0" w:color="auto"/>
                <w:left w:val="none" w:sz="0" w:space="0" w:color="auto"/>
                <w:bottom w:val="none" w:sz="0" w:space="0" w:color="auto"/>
                <w:right w:val="none" w:sz="0" w:space="0" w:color="auto"/>
              </w:divBdr>
            </w:div>
          </w:divsChild>
        </w:div>
        <w:div w:id="1155951070">
          <w:marLeft w:val="0"/>
          <w:marRight w:val="0"/>
          <w:marTop w:val="0"/>
          <w:marBottom w:val="0"/>
          <w:divBdr>
            <w:top w:val="none" w:sz="0" w:space="0" w:color="auto"/>
            <w:left w:val="none" w:sz="0" w:space="0" w:color="auto"/>
            <w:bottom w:val="none" w:sz="0" w:space="0" w:color="auto"/>
            <w:right w:val="none" w:sz="0" w:space="0" w:color="auto"/>
          </w:divBdr>
          <w:divsChild>
            <w:div w:id="372116459">
              <w:marLeft w:val="0"/>
              <w:marRight w:val="0"/>
              <w:marTop w:val="0"/>
              <w:marBottom w:val="0"/>
              <w:divBdr>
                <w:top w:val="none" w:sz="0" w:space="0" w:color="auto"/>
                <w:left w:val="none" w:sz="0" w:space="0" w:color="auto"/>
                <w:bottom w:val="none" w:sz="0" w:space="0" w:color="auto"/>
                <w:right w:val="none" w:sz="0" w:space="0" w:color="auto"/>
              </w:divBdr>
            </w:div>
          </w:divsChild>
        </w:div>
        <w:div w:id="1171603000">
          <w:marLeft w:val="0"/>
          <w:marRight w:val="0"/>
          <w:marTop w:val="0"/>
          <w:marBottom w:val="0"/>
          <w:divBdr>
            <w:top w:val="none" w:sz="0" w:space="0" w:color="auto"/>
            <w:left w:val="none" w:sz="0" w:space="0" w:color="auto"/>
            <w:bottom w:val="none" w:sz="0" w:space="0" w:color="auto"/>
            <w:right w:val="none" w:sz="0" w:space="0" w:color="auto"/>
          </w:divBdr>
          <w:divsChild>
            <w:div w:id="1769957388">
              <w:marLeft w:val="0"/>
              <w:marRight w:val="0"/>
              <w:marTop w:val="0"/>
              <w:marBottom w:val="0"/>
              <w:divBdr>
                <w:top w:val="none" w:sz="0" w:space="0" w:color="auto"/>
                <w:left w:val="none" w:sz="0" w:space="0" w:color="auto"/>
                <w:bottom w:val="none" w:sz="0" w:space="0" w:color="auto"/>
                <w:right w:val="none" w:sz="0" w:space="0" w:color="auto"/>
              </w:divBdr>
            </w:div>
          </w:divsChild>
        </w:div>
        <w:div w:id="1183082322">
          <w:marLeft w:val="0"/>
          <w:marRight w:val="0"/>
          <w:marTop w:val="0"/>
          <w:marBottom w:val="0"/>
          <w:divBdr>
            <w:top w:val="none" w:sz="0" w:space="0" w:color="auto"/>
            <w:left w:val="none" w:sz="0" w:space="0" w:color="auto"/>
            <w:bottom w:val="none" w:sz="0" w:space="0" w:color="auto"/>
            <w:right w:val="none" w:sz="0" w:space="0" w:color="auto"/>
          </w:divBdr>
          <w:divsChild>
            <w:div w:id="1997881550">
              <w:marLeft w:val="0"/>
              <w:marRight w:val="0"/>
              <w:marTop w:val="0"/>
              <w:marBottom w:val="0"/>
              <w:divBdr>
                <w:top w:val="none" w:sz="0" w:space="0" w:color="auto"/>
                <w:left w:val="none" w:sz="0" w:space="0" w:color="auto"/>
                <w:bottom w:val="none" w:sz="0" w:space="0" w:color="auto"/>
                <w:right w:val="none" w:sz="0" w:space="0" w:color="auto"/>
              </w:divBdr>
            </w:div>
          </w:divsChild>
        </w:div>
        <w:div w:id="1211112340">
          <w:marLeft w:val="0"/>
          <w:marRight w:val="0"/>
          <w:marTop w:val="0"/>
          <w:marBottom w:val="0"/>
          <w:divBdr>
            <w:top w:val="none" w:sz="0" w:space="0" w:color="auto"/>
            <w:left w:val="none" w:sz="0" w:space="0" w:color="auto"/>
            <w:bottom w:val="none" w:sz="0" w:space="0" w:color="auto"/>
            <w:right w:val="none" w:sz="0" w:space="0" w:color="auto"/>
          </w:divBdr>
          <w:divsChild>
            <w:div w:id="2111505827">
              <w:marLeft w:val="0"/>
              <w:marRight w:val="0"/>
              <w:marTop w:val="0"/>
              <w:marBottom w:val="0"/>
              <w:divBdr>
                <w:top w:val="none" w:sz="0" w:space="0" w:color="auto"/>
                <w:left w:val="none" w:sz="0" w:space="0" w:color="auto"/>
                <w:bottom w:val="none" w:sz="0" w:space="0" w:color="auto"/>
                <w:right w:val="none" w:sz="0" w:space="0" w:color="auto"/>
              </w:divBdr>
            </w:div>
          </w:divsChild>
        </w:div>
        <w:div w:id="1221987494">
          <w:marLeft w:val="0"/>
          <w:marRight w:val="0"/>
          <w:marTop w:val="0"/>
          <w:marBottom w:val="0"/>
          <w:divBdr>
            <w:top w:val="none" w:sz="0" w:space="0" w:color="auto"/>
            <w:left w:val="none" w:sz="0" w:space="0" w:color="auto"/>
            <w:bottom w:val="none" w:sz="0" w:space="0" w:color="auto"/>
            <w:right w:val="none" w:sz="0" w:space="0" w:color="auto"/>
          </w:divBdr>
          <w:divsChild>
            <w:div w:id="1277787323">
              <w:marLeft w:val="0"/>
              <w:marRight w:val="0"/>
              <w:marTop w:val="0"/>
              <w:marBottom w:val="0"/>
              <w:divBdr>
                <w:top w:val="none" w:sz="0" w:space="0" w:color="auto"/>
                <w:left w:val="none" w:sz="0" w:space="0" w:color="auto"/>
                <w:bottom w:val="none" w:sz="0" w:space="0" w:color="auto"/>
                <w:right w:val="none" w:sz="0" w:space="0" w:color="auto"/>
              </w:divBdr>
            </w:div>
          </w:divsChild>
        </w:div>
        <w:div w:id="1262879658">
          <w:marLeft w:val="0"/>
          <w:marRight w:val="0"/>
          <w:marTop w:val="0"/>
          <w:marBottom w:val="0"/>
          <w:divBdr>
            <w:top w:val="none" w:sz="0" w:space="0" w:color="auto"/>
            <w:left w:val="none" w:sz="0" w:space="0" w:color="auto"/>
            <w:bottom w:val="none" w:sz="0" w:space="0" w:color="auto"/>
            <w:right w:val="none" w:sz="0" w:space="0" w:color="auto"/>
          </w:divBdr>
          <w:divsChild>
            <w:div w:id="1328905100">
              <w:marLeft w:val="0"/>
              <w:marRight w:val="0"/>
              <w:marTop w:val="0"/>
              <w:marBottom w:val="0"/>
              <w:divBdr>
                <w:top w:val="none" w:sz="0" w:space="0" w:color="auto"/>
                <w:left w:val="none" w:sz="0" w:space="0" w:color="auto"/>
                <w:bottom w:val="none" w:sz="0" w:space="0" w:color="auto"/>
                <w:right w:val="none" w:sz="0" w:space="0" w:color="auto"/>
              </w:divBdr>
            </w:div>
          </w:divsChild>
        </w:div>
        <w:div w:id="1311324462">
          <w:marLeft w:val="0"/>
          <w:marRight w:val="0"/>
          <w:marTop w:val="0"/>
          <w:marBottom w:val="0"/>
          <w:divBdr>
            <w:top w:val="none" w:sz="0" w:space="0" w:color="auto"/>
            <w:left w:val="none" w:sz="0" w:space="0" w:color="auto"/>
            <w:bottom w:val="none" w:sz="0" w:space="0" w:color="auto"/>
            <w:right w:val="none" w:sz="0" w:space="0" w:color="auto"/>
          </w:divBdr>
          <w:divsChild>
            <w:div w:id="1635940359">
              <w:marLeft w:val="0"/>
              <w:marRight w:val="0"/>
              <w:marTop w:val="0"/>
              <w:marBottom w:val="0"/>
              <w:divBdr>
                <w:top w:val="none" w:sz="0" w:space="0" w:color="auto"/>
                <w:left w:val="none" w:sz="0" w:space="0" w:color="auto"/>
                <w:bottom w:val="none" w:sz="0" w:space="0" w:color="auto"/>
                <w:right w:val="none" w:sz="0" w:space="0" w:color="auto"/>
              </w:divBdr>
            </w:div>
          </w:divsChild>
        </w:div>
        <w:div w:id="1335298716">
          <w:marLeft w:val="0"/>
          <w:marRight w:val="0"/>
          <w:marTop w:val="0"/>
          <w:marBottom w:val="0"/>
          <w:divBdr>
            <w:top w:val="none" w:sz="0" w:space="0" w:color="auto"/>
            <w:left w:val="none" w:sz="0" w:space="0" w:color="auto"/>
            <w:bottom w:val="none" w:sz="0" w:space="0" w:color="auto"/>
            <w:right w:val="none" w:sz="0" w:space="0" w:color="auto"/>
          </w:divBdr>
          <w:divsChild>
            <w:div w:id="1942300497">
              <w:marLeft w:val="0"/>
              <w:marRight w:val="0"/>
              <w:marTop w:val="0"/>
              <w:marBottom w:val="0"/>
              <w:divBdr>
                <w:top w:val="none" w:sz="0" w:space="0" w:color="auto"/>
                <w:left w:val="none" w:sz="0" w:space="0" w:color="auto"/>
                <w:bottom w:val="none" w:sz="0" w:space="0" w:color="auto"/>
                <w:right w:val="none" w:sz="0" w:space="0" w:color="auto"/>
              </w:divBdr>
            </w:div>
          </w:divsChild>
        </w:div>
        <w:div w:id="1337423670">
          <w:marLeft w:val="0"/>
          <w:marRight w:val="0"/>
          <w:marTop w:val="0"/>
          <w:marBottom w:val="0"/>
          <w:divBdr>
            <w:top w:val="none" w:sz="0" w:space="0" w:color="auto"/>
            <w:left w:val="none" w:sz="0" w:space="0" w:color="auto"/>
            <w:bottom w:val="none" w:sz="0" w:space="0" w:color="auto"/>
            <w:right w:val="none" w:sz="0" w:space="0" w:color="auto"/>
          </w:divBdr>
          <w:divsChild>
            <w:div w:id="534346819">
              <w:marLeft w:val="0"/>
              <w:marRight w:val="0"/>
              <w:marTop w:val="0"/>
              <w:marBottom w:val="0"/>
              <w:divBdr>
                <w:top w:val="none" w:sz="0" w:space="0" w:color="auto"/>
                <w:left w:val="none" w:sz="0" w:space="0" w:color="auto"/>
                <w:bottom w:val="none" w:sz="0" w:space="0" w:color="auto"/>
                <w:right w:val="none" w:sz="0" w:space="0" w:color="auto"/>
              </w:divBdr>
            </w:div>
          </w:divsChild>
        </w:div>
        <w:div w:id="1351176017">
          <w:marLeft w:val="0"/>
          <w:marRight w:val="0"/>
          <w:marTop w:val="0"/>
          <w:marBottom w:val="0"/>
          <w:divBdr>
            <w:top w:val="none" w:sz="0" w:space="0" w:color="auto"/>
            <w:left w:val="none" w:sz="0" w:space="0" w:color="auto"/>
            <w:bottom w:val="none" w:sz="0" w:space="0" w:color="auto"/>
            <w:right w:val="none" w:sz="0" w:space="0" w:color="auto"/>
          </w:divBdr>
          <w:divsChild>
            <w:div w:id="11616089">
              <w:marLeft w:val="0"/>
              <w:marRight w:val="0"/>
              <w:marTop w:val="0"/>
              <w:marBottom w:val="0"/>
              <w:divBdr>
                <w:top w:val="none" w:sz="0" w:space="0" w:color="auto"/>
                <w:left w:val="none" w:sz="0" w:space="0" w:color="auto"/>
                <w:bottom w:val="none" w:sz="0" w:space="0" w:color="auto"/>
                <w:right w:val="none" w:sz="0" w:space="0" w:color="auto"/>
              </w:divBdr>
            </w:div>
          </w:divsChild>
        </w:div>
        <w:div w:id="1351569560">
          <w:marLeft w:val="0"/>
          <w:marRight w:val="0"/>
          <w:marTop w:val="0"/>
          <w:marBottom w:val="0"/>
          <w:divBdr>
            <w:top w:val="none" w:sz="0" w:space="0" w:color="auto"/>
            <w:left w:val="none" w:sz="0" w:space="0" w:color="auto"/>
            <w:bottom w:val="none" w:sz="0" w:space="0" w:color="auto"/>
            <w:right w:val="none" w:sz="0" w:space="0" w:color="auto"/>
          </w:divBdr>
          <w:divsChild>
            <w:div w:id="331496681">
              <w:marLeft w:val="0"/>
              <w:marRight w:val="0"/>
              <w:marTop w:val="0"/>
              <w:marBottom w:val="0"/>
              <w:divBdr>
                <w:top w:val="none" w:sz="0" w:space="0" w:color="auto"/>
                <w:left w:val="none" w:sz="0" w:space="0" w:color="auto"/>
                <w:bottom w:val="none" w:sz="0" w:space="0" w:color="auto"/>
                <w:right w:val="none" w:sz="0" w:space="0" w:color="auto"/>
              </w:divBdr>
            </w:div>
          </w:divsChild>
        </w:div>
        <w:div w:id="1375693826">
          <w:marLeft w:val="0"/>
          <w:marRight w:val="0"/>
          <w:marTop w:val="0"/>
          <w:marBottom w:val="0"/>
          <w:divBdr>
            <w:top w:val="none" w:sz="0" w:space="0" w:color="auto"/>
            <w:left w:val="none" w:sz="0" w:space="0" w:color="auto"/>
            <w:bottom w:val="none" w:sz="0" w:space="0" w:color="auto"/>
            <w:right w:val="none" w:sz="0" w:space="0" w:color="auto"/>
          </w:divBdr>
          <w:divsChild>
            <w:div w:id="2070494167">
              <w:marLeft w:val="0"/>
              <w:marRight w:val="0"/>
              <w:marTop w:val="0"/>
              <w:marBottom w:val="0"/>
              <w:divBdr>
                <w:top w:val="none" w:sz="0" w:space="0" w:color="auto"/>
                <w:left w:val="none" w:sz="0" w:space="0" w:color="auto"/>
                <w:bottom w:val="none" w:sz="0" w:space="0" w:color="auto"/>
                <w:right w:val="none" w:sz="0" w:space="0" w:color="auto"/>
              </w:divBdr>
            </w:div>
          </w:divsChild>
        </w:div>
        <w:div w:id="1384787063">
          <w:marLeft w:val="0"/>
          <w:marRight w:val="0"/>
          <w:marTop w:val="0"/>
          <w:marBottom w:val="0"/>
          <w:divBdr>
            <w:top w:val="none" w:sz="0" w:space="0" w:color="auto"/>
            <w:left w:val="none" w:sz="0" w:space="0" w:color="auto"/>
            <w:bottom w:val="none" w:sz="0" w:space="0" w:color="auto"/>
            <w:right w:val="none" w:sz="0" w:space="0" w:color="auto"/>
          </w:divBdr>
          <w:divsChild>
            <w:div w:id="893269685">
              <w:marLeft w:val="0"/>
              <w:marRight w:val="0"/>
              <w:marTop w:val="0"/>
              <w:marBottom w:val="0"/>
              <w:divBdr>
                <w:top w:val="none" w:sz="0" w:space="0" w:color="auto"/>
                <w:left w:val="none" w:sz="0" w:space="0" w:color="auto"/>
                <w:bottom w:val="none" w:sz="0" w:space="0" w:color="auto"/>
                <w:right w:val="none" w:sz="0" w:space="0" w:color="auto"/>
              </w:divBdr>
            </w:div>
          </w:divsChild>
        </w:div>
        <w:div w:id="1391465830">
          <w:marLeft w:val="0"/>
          <w:marRight w:val="0"/>
          <w:marTop w:val="0"/>
          <w:marBottom w:val="0"/>
          <w:divBdr>
            <w:top w:val="none" w:sz="0" w:space="0" w:color="auto"/>
            <w:left w:val="none" w:sz="0" w:space="0" w:color="auto"/>
            <w:bottom w:val="none" w:sz="0" w:space="0" w:color="auto"/>
            <w:right w:val="none" w:sz="0" w:space="0" w:color="auto"/>
          </w:divBdr>
          <w:divsChild>
            <w:div w:id="838235083">
              <w:marLeft w:val="0"/>
              <w:marRight w:val="0"/>
              <w:marTop w:val="0"/>
              <w:marBottom w:val="0"/>
              <w:divBdr>
                <w:top w:val="none" w:sz="0" w:space="0" w:color="auto"/>
                <w:left w:val="none" w:sz="0" w:space="0" w:color="auto"/>
                <w:bottom w:val="none" w:sz="0" w:space="0" w:color="auto"/>
                <w:right w:val="none" w:sz="0" w:space="0" w:color="auto"/>
              </w:divBdr>
            </w:div>
          </w:divsChild>
        </w:div>
        <w:div w:id="1413429952">
          <w:marLeft w:val="0"/>
          <w:marRight w:val="0"/>
          <w:marTop w:val="0"/>
          <w:marBottom w:val="0"/>
          <w:divBdr>
            <w:top w:val="none" w:sz="0" w:space="0" w:color="auto"/>
            <w:left w:val="none" w:sz="0" w:space="0" w:color="auto"/>
            <w:bottom w:val="none" w:sz="0" w:space="0" w:color="auto"/>
            <w:right w:val="none" w:sz="0" w:space="0" w:color="auto"/>
          </w:divBdr>
          <w:divsChild>
            <w:div w:id="2008710695">
              <w:marLeft w:val="0"/>
              <w:marRight w:val="0"/>
              <w:marTop w:val="0"/>
              <w:marBottom w:val="0"/>
              <w:divBdr>
                <w:top w:val="none" w:sz="0" w:space="0" w:color="auto"/>
                <w:left w:val="none" w:sz="0" w:space="0" w:color="auto"/>
                <w:bottom w:val="none" w:sz="0" w:space="0" w:color="auto"/>
                <w:right w:val="none" w:sz="0" w:space="0" w:color="auto"/>
              </w:divBdr>
            </w:div>
          </w:divsChild>
        </w:div>
        <w:div w:id="1433475531">
          <w:marLeft w:val="0"/>
          <w:marRight w:val="0"/>
          <w:marTop w:val="0"/>
          <w:marBottom w:val="0"/>
          <w:divBdr>
            <w:top w:val="none" w:sz="0" w:space="0" w:color="auto"/>
            <w:left w:val="none" w:sz="0" w:space="0" w:color="auto"/>
            <w:bottom w:val="none" w:sz="0" w:space="0" w:color="auto"/>
            <w:right w:val="none" w:sz="0" w:space="0" w:color="auto"/>
          </w:divBdr>
          <w:divsChild>
            <w:div w:id="1901557464">
              <w:marLeft w:val="0"/>
              <w:marRight w:val="0"/>
              <w:marTop w:val="0"/>
              <w:marBottom w:val="0"/>
              <w:divBdr>
                <w:top w:val="none" w:sz="0" w:space="0" w:color="auto"/>
                <w:left w:val="none" w:sz="0" w:space="0" w:color="auto"/>
                <w:bottom w:val="none" w:sz="0" w:space="0" w:color="auto"/>
                <w:right w:val="none" w:sz="0" w:space="0" w:color="auto"/>
              </w:divBdr>
            </w:div>
          </w:divsChild>
        </w:div>
        <w:div w:id="1436705825">
          <w:marLeft w:val="0"/>
          <w:marRight w:val="0"/>
          <w:marTop w:val="0"/>
          <w:marBottom w:val="0"/>
          <w:divBdr>
            <w:top w:val="none" w:sz="0" w:space="0" w:color="auto"/>
            <w:left w:val="none" w:sz="0" w:space="0" w:color="auto"/>
            <w:bottom w:val="none" w:sz="0" w:space="0" w:color="auto"/>
            <w:right w:val="none" w:sz="0" w:space="0" w:color="auto"/>
          </w:divBdr>
          <w:divsChild>
            <w:div w:id="212546092">
              <w:marLeft w:val="0"/>
              <w:marRight w:val="0"/>
              <w:marTop w:val="0"/>
              <w:marBottom w:val="0"/>
              <w:divBdr>
                <w:top w:val="none" w:sz="0" w:space="0" w:color="auto"/>
                <w:left w:val="none" w:sz="0" w:space="0" w:color="auto"/>
                <w:bottom w:val="none" w:sz="0" w:space="0" w:color="auto"/>
                <w:right w:val="none" w:sz="0" w:space="0" w:color="auto"/>
              </w:divBdr>
            </w:div>
          </w:divsChild>
        </w:div>
        <w:div w:id="1463110947">
          <w:marLeft w:val="0"/>
          <w:marRight w:val="0"/>
          <w:marTop w:val="0"/>
          <w:marBottom w:val="0"/>
          <w:divBdr>
            <w:top w:val="none" w:sz="0" w:space="0" w:color="auto"/>
            <w:left w:val="none" w:sz="0" w:space="0" w:color="auto"/>
            <w:bottom w:val="none" w:sz="0" w:space="0" w:color="auto"/>
            <w:right w:val="none" w:sz="0" w:space="0" w:color="auto"/>
          </w:divBdr>
          <w:divsChild>
            <w:div w:id="350844428">
              <w:marLeft w:val="0"/>
              <w:marRight w:val="0"/>
              <w:marTop w:val="0"/>
              <w:marBottom w:val="0"/>
              <w:divBdr>
                <w:top w:val="none" w:sz="0" w:space="0" w:color="auto"/>
                <w:left w:val="none" w:sz="0" w:space="0" w:color="auto"/>
                <w:bottom w:val="none" w:sz="0" w:space="0" w:color="auto"/>
                <w:right w:val="none" w:sz="0" w:space="0" w:color="auto"/>
              </w:divBdr>
            </w:div>
          </w:divsChild>
        </w:div>
        <w:div w:id="1473131397">
          <w:marLeft w:val="0"/>
          <w:marRight w:val="0"/>
          <w:marTop w:val="0"/>
          <w:marBottom w:val="0"/>
          <w:divBdr>
            <w:top w:val="none" w:sz="0" w:space="0" w:color="auto"/>
            <w:left w:val="none" w:sz="0" w:space="0" w:color="auto"/>
            <w:bottom w:val="none" w:sz="0" w:space="0" w:color="auto"/>
            <w:right w:val="none" w:sz="0" w:space="0" w:color="auto"/>
          </w:divBdr>
          <w:divsChild>
            <w:div w:id="1826512421">
              <w:marLeft w:val="0"/>
              <w:marRight w:val="0"/>
              <w:marTop w:val="0"/>
              <w:marBottom w:val="0"/>
              <w:divBdr>
                <w:top w:val="none" w:sz="0" w:space="0" w:color="auto"/>
                <w:left w:val="none" w:sz="0" w:space="0" w:color="auto"/>
                <w:bottom w:val="none" w:sz="0" w:space="0" w:color="auto"/>
                <w:right w:val="none" w:sz="0" w:space="0" w:color="auto"/>
              </w:divBdr>
            </w:div>
          </w:divsChild>
        </w:div>
        <w:div w:id="1494831866">
          <w:marLeft w:val="0"/>
          <w:marRight w:val="0"/>
          <w:marTop w:val="0"/>
          <w:marBottom w:val="0"/>
          <w:divBdr>
            <w:top w:val="none" w:sz="0" w:space="0" w:color="auto"/>
            <w:left w:val="none" w:sz="0" w:space="0" w:color="auto"/>
            <w:bottom w:val="none" w:sz="0" w:space="0" w:color="auto"/>
            <w:right w:val="none" w:sz="0" w:space="0" w:color="auto"/>
          </w:divBdr>
          <w:divsChild>
            <w:div w:id="1223637782">
              <w:marLeft w:val="0"/>
              <w:marRight w:val="0"/>
              <w:marTop w:val="0"/>
              <w:marBottom w:val="0"/>
              <w:divBdr>
                <w:top w:val="none" w:sz="0" w:space="0" w:color="auto"/>
                <w:left w:val="none" w:sz="0" w:space="0" w:color="auto"/>
                <w:bottom w:val="none" w:sz="0" w:space="0" w:color="auto"/>
                <w:right w:val="none" w:sz="0" w:space="0" w:color="auto"/>
              </w:divBdr>
            </w:div>
          </w:divsChild>
        </w:div>
        <w:div w:id="1497527802">
          <w:marLeft w:val="0"/>
          <w:marRight w:val="0"/>
          <w:marTop w:val="0"/>
          <w:marBottom w:val="0"/>
          <w:divBdr>
            <w:top w:val="none" w:sz="0" w:space="0" w:color="auto"/>
            <w:left w:val="none" w:sz="0" w:space="0" w:color="auto"/>
            <w:bottom w:val="none" w:sz="0" w:space="0" w:color="auto"/>
            <w:right w:val="none" w:sz="0" w:space="0" w:color="auto"/>
          </w:divBdr>
          <w:divsChild>
            <w:div w:id="326322313">
              <w:marLeft w:val="0"/>
              <w:marRight w:val="0"/>
              <w:marTop w:val="0"/>
              <w:marBottom w:val="0"/>
              <w:divBdr>
                <w:top w:val="none" w:sz="0" w:space="0" w:color="auto"/>
                <w:left w:val="none" w:sz="0" w:space="0" w:color="auto"/>
                <w:bottom w:val="none" w:sz="0" w:space="0" w:color="auto"/>
                <w:right w:val="none" w:sz="0" w:space="0" w:color="auto"/>
              </w:divBdr>
            </w:div>
          </w:divsChild>
        </w:div>
        <w:div w:id="1511018760">
          <w:marLeft w:val="0"/>
          <w:marRight w:val="0"/>
          <w:marTop w:val="0"/>
          <w:marBottom w:val="0"/>
          <w:divBdr>
            <w:top w:val="none" w:sz="0" w:space="0" w:color="auto"/>
            <w:left w:val="none" w:sz="0" w:space="0" w:color="auto"/>
            <w:bottom w:val="none" w:sz="0" w:space="0" w:color="auto"/>
            <w:right w:val="none" w:sz="0" w:space="0" w:color="auto"/>
          </w:divBdr>
          <w:divsChild>
            <w:div w:id="1276715326">
              <w:marLeft w:val="0"/>
              <w:marRight w:val="0"/>
              <w:marTop w:val="0"/>
              <w:marBottom w:val="0"/>
              <w:divBdr>
                <w:top w:val="none" w:sz="0" w:space="0" w:color="auto"/>
                <w:left w:val="none" w:sz="0" w:space="0" w:color="auto"/>
                <w:bottom w:val="none" w:sz="0" w:space="0" w:color="auto"/>
                <w:right w:val="none" w:sz="0" w:space="0" w:color="auto"/>
              </w:divBdr>
            </w:div>
          </w:divsChild>
        </w:div>
        <w:div w:id="1523862556">
          <w:marLeft w:val="0"/>
          <w:marRight w:val="0"/>
          <w:marTop w:val="0"/>
          <w:marBottom w:val="0"/>
          <w:divBdr>
            <w:top w:val="none" w:sz="0" w:space="0" w:color="auto"/>
            <w:left w:val="none" w:sz="0" w:space="0" w:color="auto"/>
            <w:bottom w:val="none" w:sz="0" w:space="0" w:color="auto"/>
            <w:right w:val="none" w:sz="0" w:space="0" w:color="auto"/>
          </w:divBdr>
          <w:divsChild>
            <w:div w:id="1390618699">
              <w:marLeft w:val="0"/>
              <w:marRight w:val="0"/>
              <w:marTop w:val="0"/>
              <w:marBottom w:val="0"/>
              <w:divBdr>
                <w:top w:val="none" w:sz="0" w:space="0" w:color="auto"/>
                <w:left w:val="none" w:sz="0" w:space="0" w:color="auto"/>
                <w:bottom w:val="none" w:sz="0" w:space="0" w:color="auto"/>
                <w:right w:val="none" w:sz="0" w:space="0" w:color="auto"/>
              </w:divBdr>
            </w:div>
          </w:divsChild>
        </w:div>
        <w:div w:id="1526551651">
          <w:marLeft w:val="0"/>
          <w:marRight w:val="0"/>
          <w:marTop w:val="0"/>
          <w:marBottom w:val="0"/>
          <w:divBdr>
            <w:top w:val="none" w:sz="0" w:space="0" w:color="auto"/>
            <w:left w:val="none" w:sz="0" w:space="0" w:color="auto"/>
            <w:bottom w:val="none" w:sz="0" w:space="0" w:color="auto"/>
            <w:right w:val="none" w:sz="0" w:space="0" w:color="auto"/>
          </w:divBdr>
          <w:divsChild>
            <w:div w:id="1461459782">
              <w:marLeft w:val="0"/>
              <w:marRight w:val="0"/>
              <w:marTop w:val="0"/>
              <w:marBottom w:val="0"/>
              <w:divBdr>
                <w:top w:val="none" w:sz="0" w:space="0" w:color="auto"/>
                <w:left w:val="none" w:sz="0" w:space="0" w:color="auto"/>
                <w:bottom w:val="none" w:sz="0" w:space="0" w:color="auto"/>
                <w:right w:val="none" w:sz="0" w:space="0" w:color="auto"/>
              </w:divBdr>
            </w:div>
          </w:divsChild>
        </w:div>
        <w:div w:id="1546524666">
          <w:marLeft w:val="0"/>
          <w:marRight w:val="0"/>
          <w:marTop w:val="0"/>
          <w:marBottom w:val="0"/>
          <w:divBdr>
            <w:top w:val="none" w:sz="0" w:space="0" w:color="auto"/>
            <w:left w:val="none" w:sz="0" w:space="0" w:color="auto"/>
            <w:bottom w:val="none" w:sz="0" w:space="0" w:color="auto"/>
            <w:right w:val="none" w:sz="0" w:space="0" w:color="auto"/>
          </w:divBdr>
          <w:divsChild>
            <w:div w:id="1228033412">
              <w:marLeft w:val="0"/>
              <w:marRight w:val="0"/>
              <w:marTop w:val="0"/>
              <w:marBottom w:val="0"/>
              <w:divBdr>
                <w:top w:val="none" w:sz="0" w:space="0" w:color="auto"/>
                <w:left w:val="none" w:sz="0" w:space="0" w:color="auto"/>
                <w:bottom w:val="none" w:sz="0" w:space="0" w:color="auto"/>
                <w:right w:val="none" w:sz="0" w:space="0" w:color="auto"/>
              </w:divBdr>
            </w:div>
          </w:divsChild>
        </w:div>
        <w:div w:id="1546680622">
          <w:marLeft w:val="0"/>
          <w:marRight w:val="0"/>
          <w:marTop w:val="0"/>
          <w:marBottom w:val="0"/>
          <w:divBdr>
            <w:top w:val="none" w:sz="0" w:space="0" w:color="auto"/>
            <w:left w:val="none" w:sz="0" w:space="0" w:color="auto"/>
            <w:bottom w:val="none" w:sz="0" w:space="0" w:color="auto"/>
            <w:right w:val="none" w:sz="0" w:space="0" w:color="auto"/>
          </w:divBdr>
          <w:divsChild>
            <w:div w:id="1500270670">
              <w:marLeft w:val="0"/>
              <w:marRight w:val="0"/>
              <w:marTop w:val="0"/>
              <w:marBottom w:val="0"/>
              <w:divBdr>
                <w:top w:val="none" w:sz="0" w:space="0" w:color="auto"/>
                <w:left w:val="none" w:sz="0" w:space="0" w:color="auto"/>
                <w:bottom w:val="none" w:sz="0" w:space="0" w:color="auto"/>
                <w:right w:val="none" w:sz="0" w:space="0" w:color="auto"/>
              </w:divBdr>
            </w:div>
          </w:divsChild>
        </w:div>
        <w:div w:id="1596399582">
          <w:marLeft w:val="0"/>
          <w:marRight w:val="0"/>
          <w:marTop w:val="0"/>
          <w:marBottom w:val="0"/>
          <w:divBdr>
            <w:top w:val="none" w:sz="0" w:space="0" w:color="auto"/>
            <w:left w:val="none" w:sz="0" w:space="0" w:color="auto"/>
            <w:bottom w:val="none" w:sz="0" w:space="0" w:color="auto"/>
            <w:right w:val="none" w:sz="0" w:space="0" w:color="auto"/>
          </w:divBdr>
          <w:divsChild>
            <w:div w:id="766734987">
              <w:marLeft w:val="0"/>
              <w:marRight w:val="0"/>
              <w:marTop w:val="0"/>
              <w:marBottom w:val="0"/>
              <w:divBdr>
                <w:top w:val="none" w:sz="0" w:space="0" w:color="auto"/>
                <w:left w:val="none" w:sz="0" w:space="0" w:color="auto"/>
                <w:bottom w:val="none" w:sz="0" w:space="0" w:color="auto"/>
                <w:right w:val="none" w:sz="0" w:space="0" w:color="auto"/>
              </w:divBdr>
            </w:div>
          </w:divsChild>
        </w:div>
        <w:div w:id="1613394493">
          <w:marLeft w:val="0"/>
          <w:marRight w:val="0"/>
          <w:marTop w:val="0"/>
          <w:marBottom w:val="0"/>
          <w:divBdr>
            <w:top w:val="none" w:sz="0" w:space="0" w:color="auto"/>
            <w:left w:val="none" w:sz="0" w:space="0" w:color="auto"/>
            <w:bottom w:val="none" w:sz="0" w:space="0" w:color="auto"/>
            <w:right w:val="none" w:sz="0" w:space="0" w:color="auto"/>
          </w:divBdr>
          <w:divsChild>
            <w:div w:id="2144615621">
              <w:marLeft w:val="0"/>
              <w:marRight w:val="0"/>
              <w:marTop w:val="0"/>
              <w:marBottom w:val="0"/>
              <w:divBdr>
                <w:top w:val="none" w:sz="0" w:space="0" w:color="auto"/>
                <w:left w:val="none" w:sz="0" w:space="0" w:color="auto"/>
                <w:bottom w:val="none" w:sz="0" w:space="0" w:color="auto"/>
                <w:right w:val="none" w:sz="0" w:space="0" w:color="auto"/>
              </w:divBdr>
            </w:div>
          </w:divsChild>
        </w:div>
        <w:div w:id="1618294166">
          <w:marLeft w:val="0"/>
          <w:marRight w:val="0"/>
          <w:marTop w:val="0"/>
          <w:marBottom w:val="0"/>
          <w:divBdr>
            <w:top w:val="none" w:sz="0" w:space="0" w:color="auto"/>
            <w:left w:val="none" w:sz="0" w:space="0" w:color="auto"/>
            <w:bottom w:val="none" w:sz="0" w:space="0" w:color="auto"/>
            <w:right w:val="none" w:sz="0" w:space="0" w:color="auto"/>
          </w:divBdr>
          <w:divsChild>
            <w:div w:id="2132672978">
              <w:marLeft w:val="0"/>
              <w:marRight w:val="0"/>
              <w:marTop w:val="0"/>
              <w:marBottom w:val="0"/>
              <w:divBdr>
                <w:top w:val="none" w:sz="0" w:space="0" w:color="auto"/>
                <w:left w:val="none" w:sz="0" w:space="0" w:color="auto"/>
                <w:bottom w:val="none" w:sz="0" w:space="0" w:color="auto"/>
                <w:right w:val="none" w:sz="0" w:space="0" w:color="auto"/>
              </w:divBdr>
            </w:div>
          </w:divsChild>
        </w:div>
        <w:div w:id="1619218426">
          <w:marLeft w:val="0"/>
          <w:marRight w:val="0"/>
          <w:marTop w:val="0"/>
          <w:marBottom w:val="0"/>
          <w:divBdr>
            <w:top w:val="none" w:sz="0" w:space="0" w:color="auto"/>
            <w:left w:val="none" w:sz="0" w:space="0" w:color="auto"/>
            <w:bottom w:val="none" w:sz="0" w:space="0" w:color="auto"/>
            <w:right w:val="none" w:sz="0" w:space="0" w:color="auto"/>
          </w:divBdr>
          <w:divsChild>
            <w:div w:id="97484344">
              <w:marLeft w:val="0"/>
              <w:marRight w:val="0"/>
              <w:marTop w:val="0"/>
              <w:marBottom w:val="0"/>
              <w:divBdr>
                <w:top w:val="none" w:sz="0" w:space="0" w:color="auto"/>
                <w:left w:val="none" w:sz="0" w:space="0" w:color="auto"/>
                <w:bottom w:val="none" w:sz="0" w:space="0" w:color="auto"/>
                <w:right w:val="none" w:sz="0" w:space="0" w:color="auto"/>
              </w:divBdr>
            </w:div>
          </w:divsChild>
        </w:div>
        <w:div w:id="1665860957">
          <w:marLeft w:val="0"/>
          <w:marRight w:val="0"/>
          <w:marTop w:val="0"/>
          <w:marBottom w:val="0"/>
          <w:divBdr>
            <w:top w:val="none" w:sz="0" w:space="0" w:color="auto"/>
            <w:left w:val="none" w:sz="0" w:space="0" w:color="auto"/>
            <w:bottom w:val="none" w:sz="0" w:space="0" w:color="auto"/>
            <w:right w:val="none" w:sz="0" w:space="0" w:color="auto"/>
          </w:divBdr>
          <w:divsChild>
            <w:div w:id="645167749">
              <w:marLeft w:val="0"/>
              <w:marRight w:val="0"/>
              <w:marTop w:val="0"/>
              <w:marBottom w:val="0"/>
              <w:divBdr>
                <w:top w:val="none" w:sz="0" w:space="0" w:color="auto"/>
                <w:left w:val="none" w:sz="0" w:space="0" w:color="auto"/>
                <w:bottom w:val="none" w:sz="0" w:space="0" w:color="auto"/>
                <w:right w:val="none" w:sz="0" w:space="0" w:color="auto"/>
              </w:divBdr>
            </w:div>
          </w:divsChild>
        </w:div>
        <w:div w:id="1675111936">
          <w:marLeft w:val="0"/>
          <w:marRight w:val="0"/>
          <w:marTop w:val="0"/>
          <w:marBottom w:val="0"/>
          <w:divBdr>
            <w:top w:val="none" w:sz="0" w:space="0" w:color="auto"/>
            <w:left w:val="none" w:sz="0" w:space="0" w:color="auto"/>
            <w:bottom w:val="none" w:sz="0" w:space="0" w:color="auto"/>
            <w:right w:val="none" w:sz="0" w:space="0" w:color="auto"/>
          </w:divBdr>
          <w:divsChild>
            <w:div w:id="1252618214">
              <w:marLeft w:val="0"/>
              <w:marRight w:val="0"/>
              <w:marTop w:val="0"/>
              <w:marBottom w:val="0"/>
              <w:divBdr>
                <w:top w:val="none" w:sz="0" w:space="0" w:color="auto"/>
                <w:left w:val="none" w:sz="0" w:space="0" w:color="auto"/>
                <w:bottom w:val="none" w:sz="0" w:space="0" w:color="auto"/>
                <w:right w:val="none" w:sz="0" w:space="0" w:color="auto"/>
              </w:divBdr>
            </w:div>
          </w:divsChild>
        </w:div>
        <w:div w:id="1754277384">
          <w:marLeft w:val="0"/>
          <w:marRight w:val="0"/>
          <w:marTop w:val="0"/>
          <w:marBottom w:val="0"/>
          <w:divBdr>
            <w:top w:val="none" w:sz="0" w:space="0" w:color="auto"/>
            <w:left w:val="none" w:sz="0" w:space="0" w:color="auto"/>
            <w:bottom w:val="none" w:sz="0" w:space="0" w:color="auto"/>
            <w:right w:val="none" w:sz="0" w:space="0" w:color="auto"/>
          </w:divBdr>
          <w:divsChild>
            <w:div w:id="498737103">
              <w:marLeft w:val="0"/>
              <w:marRight w:val="0"/>
              <w:marTop w:val="0"/>
              <w:marBottom w:val="0"/>
              <w:divBdr>
                <w:top w:val="none" w:sz="0" w:space="0" w:color="auto"/>
                <w:left w:val="none" w:sz="0" w:space="0" w:color="auto"/>
                <w:bottom w:val="none" w:sz="0" w:space="0" w:color="auto"/>
                <w:right w:val="none" w:sz="0" w:space="0" w:color="auto"/>
              </w:divBdr>
            </w:div>
          </w:divsChild>
        </w:div>
        <w:div w:id="1758400885">
          <w:marLeft w:val="0"/>
          <w:marRight w:val="0"/>
          <w:marTop w:val="0"/>
          <w:marBottom w:val="0"/>
          <w:divBdr>
            <w:top w:val="none" w:sz="0" w:space="0" w:color="auto"/>
            <w:left w:val="none" w:sz="0" w:space="0" w:color="auto"/>
            <w:bottom w:val="none" w:sz="0" w:space="0" w:color="auto"/>
            <w:right w:val="none" w:sz="0" w:space="0" w:color="auto"/>
          </w:divBdr>
          <w:divsChild>
            <w:div w:id="1451824642">
              <w:marLeft w:val="0"/>
              <w:marRight w:val="0"/>
              <w:marTop w:val="0"/>
              <w:marBottom w:val="0"/>
              <w:divBdr>
                <w:top w:val="none" w:sz="0" w:space="0" w:color="auto"/>
                <w:left w:val="none" w:sz="0" w:space="0" w:color="auto"/>
                <w:bottom w:val="none" w:sz="0" w:space="0" w:color="auto"/>
                <w:right w:val="none" w:sz="0" w:space="0" w:color="auto"/>
              </w:divBdr>
            </w:div>
          </w:divsChild>
        </w:div>
        <w:div w:id="1760364718">
          <w:marLeft w:val="0"/>
          <w:marRight w:val="0"/>
          <w:marTop w:val="0"/>
          <w:marBottom w:val="0"/>
          <w:divBdr>
            <w:top w:val="none" w:sz="0" w:space="0" w:color="auto"/>
            <w:left w:val="none" w:sz="0" w:space="0" w:color="auto"/>
            <w:bottom w:val="none" w:sz="0" w:space="0" w:color="auto"/>
            <w:right w:val="none" w:sz="0" w:space="0" w:color="auto"/>
          </w:divBdr>
          <w:divsChild>
            <w:div w:id="1727293270">
              <w:marLeft w:val="0"/>
              <w:marRight w:val="0"/>
              <w:marTop w:val="0"/>
              <w:marBottom w:val="0"/>
              <w:divBdr>
                <w:top w:val="none" w:sz="0" w:space="0" w:color="auto"/>
                <w:left w:val="none" w:sz="0" w:space="0" w:color="auto"/>
                <w:bottom w:val="none" w:sz="0" w:space="0" w:color="auto"/>
                <w:right w:val="none" w:sz="0" w:space="0" w:color="auto"/>
              </w:divBdr>
            </w:div>
          </w:divsChild>
        </w:div>
        <w:div w:id="1765153265">
          <w:marLeft w:val="0"/>
          <w:marRight w:val="0"/>
          <w:marTop w:val="0"/>
          <w:marBottom w:val="0"/>
          <w:divBdr>
            <w:top w:val="none" w:sz="0" w:space="0" w:color="auto"/>
            <w:left w:val="none" w:sz="0" w:space="0" w:color="auto"/>
            <w:bottom w:val="none" w:sz="0" w:space="0" w:color="auto"/>
            <w:right w:val="none" w:sz="0" w:space="0" w:color="auto"/>
          </w:divBdr>
          <w:divsChild>
            <w:div w:id="1373268078">
              <w:marLeft w:val="0"/>
              <w:marRight w:val="0"/>
              <w:marTop w:val="0"/>
              <w:marBottom w:val="0"/>
              <w:divBdr>
                <w:top w:val="none" w:sz="0" w:space="0" w:color="auto"/>
                <w:left w:val="none" w:sz="0" w:space="0" w:color="auto"/>
                <w:bottom w:val="none" w:sz="0" w:space="0" w:color="auto"/>
                <w:right w:val="none" w:sz="0" w:space="0" w:color="auto"/>
              </w:divBdr>
            </w:div>
          </w:divsChild>
        </w:div>
        <w:div w:id="1777751122">
          <w:marLeft w:val="0"/>
          <w:marRight w:val="0"/>
          <w:marTop w:val="0"/>
          <w:marBottom w:val="0"/>
          <w:divBdr>
            <w:top w:val="none" w:sz="0" w:space="0" w:color="auto"/>
            <w:left w:val="none" w:sz="0" w:space="0" w:color="auto"/>
            <w:bottom w:val="none" w:sz="0" w:space="0" w:color="auto"/>
            <w:right w:val="none" w:sz="0" w:space="0" w:color="auto"/>
          </w:divBdr>
          <w:divsChild>
            <w:div w:id="410855543">
              <w:marLeft w:val="0"/>
              <w:marRight w:val="0"/>
              <w:marTop w:val="0"/>
              <w:marBottom w:val="0"/>
              <w:divBdr>
                <w:top w:val="none" w:sz="0" w:space="0" w:color="auto"/>
                <w:left w:val="none" w:sz="0" w:space="0" w:color="auto"/>
                <w:bottom w:val="none" w:sz="0" w:space="0" w:color="auto"/>
                <w:right w:val="none" w:sz="0" w:space="0" w:color="auto"/>
              </w:divBdr>
            </w:div>
          </w:divsChild>
        </w:div>
        <w:div w:id="1798723132">
          <w:marLeft w:val="0"/>
          <w:marRight w:val="0"/>
          <w:marTop w:val="0"/>
          <w:marBottom w:val="0"/>
          <w:divBdr>
            <w:top w:val="none" w:sz="0" w:space="0" w:color="auto"/>
            <w:left w:val="none" w:sz="0" w:space="0" w:color="auto"/>
            <w:bottom w:val="none" w:sz="0" w:space="0" w:color="auto"/>
            <w:right w:val="none" w:sz="0" w:space="0" w:color="auto"/>
          </w:divBdr>
          <w:divsChild>
            <w:div w:id="1800150174">
              <w:marLeft w:val="0"/>
              <w:marRight w:val="0"/>
              <w:marTop w:val="0"/>
              <w:marBottom w:val="0"/>
              <w:divBdr>
                <w:top w:val="none" w:sz="0" w:space="0" w:color="auto"/>
                <w:left w:val="none" w:sz="0" w:space="0" w:color="auto"/>
                <w:bottom w:val="none" w:sz="0" w:space="0" w:color="auto"/>
                <w:right w:val="none" w:sz="0" w:space="0" w:color="auto"/>
              </w:divBdr>
            </w:div>
          </w:divsChild>
        </w:div>
        <w:div w:id="1849052317">
          <w:marLeft w:val="0"/>
          <w:marRight w:val="0"/>
          <w:marTop w:val="0"/>
          <w:marBottom w:val="0"/>
          <w:divBdr>
            <w:top w:val="none" w:sz="0" w:space="0" w:color="auto"/>
            <w:left w:val="none" w:sz="0" w:space="0" w:color="auto"/>
            <w:bottom w:val="none" w:sz="0" w:space="0" w:color="auto"/>
            <w:right w:val="none" w:sz="0" w:space="0" w:color="auto"/>
          </w:divBdr>
          <w:divsChild>
            <w:div w:id="1586960525">
              <w:marLeft w:val="0"/>
              <w:marRight w:val="0"/>
              <w:marTop w:val="0"/>
              <w:marBottom w:val="0"/>
              <w:divBdr>
                <w:top w:val="none" w:sz="0" w:space="0" w:color="auto"/>
                <w:left w:val="none" w:sz="0" w:space="0" w:color="auto"/>
                <w:bottom w:val="none" w:sz="0" w:space="0" w:color="auto"/>
                <w:right w:val="none" w:sz="0" w:space="0" w:color="auto"/>
              </w:divBdr>
            </w:div>
          </w:divsChild>
        </w:div>
        <w:div w:id="1849637409">
          <w:marLeft w:val="0"/>
          <w:marRight w:val="0"/>
          <w:marTop w:val="0"/>
          <w:marBottom w:val="0"/>
          <w:divBdr>
            <w:top w:val="none" w:sz="0" w:space="0" w:color="auto"/>
            <w:left w:val="none" w:sz="0" w:space="0" w:color="auto"/>
            <w:bottom w:val="none" w:sz="0" w:space="0" w:color="auto"/>
            <w:right w:val="none" w:sz="0" w:space="0" w:color="auto"/>
          </w:divBdr>
          <w:divsChild>
            <w:div w:id="1191649565">
              <w:marLeft w:val="0"/>
              <w:marRight w:val="0"/>
              <w:marTop w:val="0"/>
              <w:marBottom w:val="0"/>
              <w:divBdr>
                <w:top w:val="none" w:sz="0" w:space="0" w:color="auto"/>
                <w:left w:val="none" w:sz="0" w:space="0" w:color="auto"/>
                <w:bottom w:val="none" w:sz="0" w:space="0" w:color="auto"/>
                <w:right w:val="none" w:sz="0" w:space="0" w:color="auto"/>
              </w:divBdr>
            </w:div>
          </w:divsChild>
        </w:div>
        <w:div w:id="1856769595">
          <w:marLeft w:val="0"/>
          <w:marRight w:val="0"/>
          <w:marTop w:val="0"/>
          <w:marBottom w:val="0"/>
          <w:divBdr>
            <w:top w:val="none" w:sz="0" w:space="0" w:color="auto"/>
            <w:left w:val="none" w:sz="0" w:space="0" w:color="auto"/>
            <w:bottom w:val="none" w:sz="0" w:space="0" w:color="auto"/>
            <w:right w:val="none" w:sz="0" w:space="0" w:color="auto"/>
          </w:divBdr>
          <w:divsChild>
            <w:div w:id="1276215114">
              <w:marLeft w:val="0"/>
              <w:marRight w:val="0"/>
              <w:marTop w:val="0"/>
              <w:marBottom w:val="0"/>
              <w:divBdr>
                <w:top w:val="none" w:sz="0" w:space="0" w:color="auto"/>
                <w:left w:val="none" w:sz="0" w:space="0" w:color="auto"/>
                <w:bottom w:val="none" w:sz="0" w:space="0" w:color="auto"/>
                <w:right w:val="none" w:sz="0" w:space="0" w:color="auto"/>
              </w:divBdr>
            </w:div>
          </w:divsChild>
        </w:div>
        <w:div w:id="1862207512">
          <w:marLeft w:val="0"/>
          <w:marRight w:val="0"/>
          <w:marTop w:val="0"/>
          <w:marBottom w:val="0"/>
          <w:divBdr>
            <w:top w:val="none" w:sz="0" w:space="0" w:color="auto"/>
            <w:left w:val="none" w:sz="0" w:space="0" w:color="auto"/>
            <w:bottom w:val="none" w:sz="0" w:space="0" w:color="auto"/>
            <w:right w:val="none" w:sz="0" w:space="0" w:color="auto"/>
          </w:divBdr>
          <w:divsChild>
            <w:div w:id="1200899770">
              <w:marLeft w:val="0"/>
              <w:marRight w:val="0"/>
              <w:marTop w:val="0"/>
              <w:marBottom w:val="0"/>
              <w:divBdr>
                <w:top w:val="none" w:sz="0" w:space="0" w:color="auto"/>
                <w:left w:val="none" w:sz="0" w:space="0" w:color="auto"/>
                <w:bottom w:val="none" w:sz="0" w:space="0" w:color="auto"/>
                <w:right w:val="none" w:sz="0" w:space="0" w:color="auto"/>
              </w:divBdr>
            </w:div>
          </w:divsChild>
        </w:div>
        <w:div w:id="1889023665">
          <w:marLeft w:val="0"/>
          <w:marRight w:val="0"/>
          <w:marTop w:val="0"/>
          <w:marBottom w:val="0"/>
          <w:divBdr>
            <w:top w:val="none" w:sz="0" w:space="0" w:color="auto"/>
            <w:left w:val="none" w:sz="0" w:space="0" w:color="auto"/>
            <w:bottom w:val="none" w:sz="0" w:space="0" w:color="auto"/>
            <w:right w:val="none" w:sz="0" w:space="0" w:color="auto"/>
          </w:divBdr>
          <w:divsChild>
            <w:div w:id="2117209719">
              <w:marLeft w:val="0"/>
              <w:marRight w:val="0"/>
              <w:marTop w:val="0"/>
              <w:marBottom w:val="0"/>
              <w:divBdr>
                <w:top w:val="none" w:sz="0" w:space="0" w:color="auto"/>
                <w:left w:val="none" w:sz="0" w:space="0" w:color="auto"/>
                <w:bottom w:val="none" w:sz="0" w:space="0" w:color="auto"/>
                <w:right w:val="none" w:sz="0" w:space="0" w:color="auto"/>
              </w:divBdr>
            </w:div>
          </w:divsChild>
        </w:div>
        <w:div w:id="1892493127">
          <w:marLeft w:val="0"/>
          <w:marRight w:val="0"/>
          <w:marTop w:val="0"/>
          <w:marBottom w:val="0"/>
          <w:divBdr>
            <w:top w:val="none" w:sz="0" w:space="0" w:color="auto"/>
            <w:left w:val="none" w:sz="0" w:space="0" w:color="auto"/>
            <w:bottom w:val="none" w:sz="0" w:space="0" w:color="auto"/>
            <w:right w:val="none" w:sz="0" w:space="0" w:color="auto"/>
          </w:divBdr>
          <w:divsChild>
            <w:div w:id="5404586">
              <w:marLeft w:val="0"/>
              <w:marRight w:val="0"/>
              <w:marTop w:val="0"/>
              <w:marBottom w:val="0"/>
              <w:divBdr>
                <w:top w:val="none" w:sz="0" w:space="0" w:color="auto"/>
                <w:left w:val="none" w:sz="0" w:space="0" w:color="auto"/>
                <w:bottom w:val="none" w:sz="0" w:space="0" w:color="auto"/>
                <w:right w:val="none" w:sz="0" w:space="0" w:color="auto"/>
              </w:divBdr>
            </w:div>
          </w:divsChild>
        </w:div>
        <w:div w:id="1918392935">
          <w:marLeft w:val="0"/>
          <w:marRight w:val="0"/>
          <w:marTop w:val="0"/>
          <w:marBottom w:val="0"/>
          <w:divBdr>
            <w:top w:val="none" w:sz="0" w:space="0" w:color="auto"/>
            <w:left w:val="none" w:sz="0" w:space="0" w:color="auto"/>
            <w:bottom w:val="none" w:sz="0" w:space="0" w:color="auto"/>
            <w:right w:val="none" w:sz="0" w:space="0" w:color="auto"/>
          </w:divBdr>
          <w:divsChild>
            <w:div w:id="315187970">
              <w:marLeft w:val="0"/>
              <w:marRight w:val="0"/>
              <w:marTop w:val="0"/>
              <w:marBottom w:val="0"/>
              <w:divBdr>
                <w:top w:val="none" w:sz="0" w:space="0" w:color="auto"/>
                <w:left w:val="none" w:sz="0" w:space="0" w:color="auto"/>
                <w:bottom w:val="none" w:sz="0" w:space="0" w:color="auto"/>
                <w:right w:val="none" w:sz="0" w:space="0" w:color="auto"/>
              </w:divBdr>
            </w:div>
          </w:divsChild>
        </w:div>
        <w:div w:id="1925257133">
          <w:marLeft w:val="0"/>
          <w:marRight w:val="0"/>
          <w:marTop w:val="0"/>
          <w:marBottom w:val="0"/>
          <w:divBdr>
            <w:top w:val="none" w:sz="0" w:space="0" w:color="auto"/>
            <w:left w:val="none" w:sz="0" w:space="0" w:color="auto"/>
            <w:bottom w:val="none" w:sz="0" w:space="0" w:color="auto"/>
            <w:right w:val="none" w:sz="0" w:space="0" w:color="auto"/>
          </w:divBdr>
          <w:divsChild>
            <w:div w:id="1128428628">
              <w:marLeft w:val="0"/>
              <w:marRight w:val="0"/>
              <w:marTop w:val="0"/>
              <w:marBottom w:val="0"/>
              <w:divBdr>
                <w:top w:val="none" w:sz="0" w:space="0" w:color="auto"/>
                <w:left w:val="none" w:sz="0" w:space="0" w:color="auto"/>
                <w:bottom w:val="none" w:sz="0" w:space="0" w:color="auto"/>
                <w:right w:val="none" w:sz="0" w:space="0" w:color="auto"/>
              </w:divBdr>
            </w:div>
          </w:divsChild>
        </w:div>
        <w:div w:id="1948613078">
          <w:marLeft w:val="0"/>
          <w:marRight w:val="0"/>
          <w:marTop w:val="0"/>
          <w:marBottom w:val="0"/>
          <w:divBdr>
            <w:top w:val="none" w:sz="0" w:space="0" w:color="auto"/>
            <w:left w:val="none" w:sz="0" w:space="0" w:color="auto"/>
            <w:bottom w:val="none" w:sz="0" w:space="0" w:color="auto"/>
            <w:right w:val="none" w:sz="0" w:space="0" w:color="auto"/>
          </w:divBdr>
          <w:divsChild>
            <w:div w:id="722559523">
              <w:marLeft w:val="0"/>
              <w:marRight w:val="0"/>
              <w:marTop w:val="0"/>
              <w:marBottom w:val="0"/>
              <w:divBdr>
                <w:top w:val="none" w:sz="0" w:space="0" w:color="auto"/>
                <w:left w:val="none" w:sz="0" w:space="0" w:color="auto"/>
                <w:bottom w:val="none" w:sz="0" w:space="0" w:color="auto"/>
                <w:right w:val="none" w:sz="0" w:space="0" w:color="auto"/>
              </w:divBdr>
            </w:div>
          </w:divsChild>
        </w:div>
        <w:div w:id="1962683801">
          <w:marLeft w:val="0"/>
          <w:marRight w:val="0"/>
          <w:marTop w:val="0"/>
          <w:marBottom w:val="0"/>
          <w:divBdr>
            <w:top w:val="none" w:sz="0" w:space="0" w:color="auto"/>
            <w:left w:val="none" w:sz="0" w:space="0" w:color="auto"/>
            <w:bottom w:val="none" w:sz="0" w:space="0" w:color="auto"/>
            <w:right w:val="none" w:sz="0" w:space="0" w:color="auto"/>
          </w:divBdr>
          <w:divsChild>
            <w:div w:id="1296788477">
              <w:marLeft w:val="0"/>
              <w:marRight w:val="0"/>
              <w:marTop w:val="0"/>
              <w:marBottom w:val="0"/>
              <w:divBdr>
                <w:top w:val="none" w:sz="0" w:space="0" w:color="auto"/>
                <w:left w:val="none" w:sz="0" w:space="0" w:color="auto"/>
                <w:bottom w:val="none" w:sz="0" w:space="0" w:color="auto"/>
                <w:right w:val="none" w:sz="0" w:space="0" w:color="auto"/>
              </w:divBdr>
            </w:div>
          </w:divsChild>
        </w:div>
        <w:div w:id="1978996556">
          <w:marLeft w:val="0"/>
          <w:marRight w:val="0"/>
          <w:marTop w:val="0"/>
          <w:marBottom w:val="0"/>
          <w:divBdr>
            <w:top w:val="none" w:sz="0" w:space="0" w:color="auto"/>
            <w:left w:val="none" w:sz="0" w:space="0" w:color="auto"/>
            <w:bottom w:val="none" w:sz="0" w:space="0" w:color="auto"/>
            <w:right w:val="none" w:sz="0" w:space="0" w:color="auto"/>
          </w:divBdr>
          <w:divsChild>
            <w:div w:id="41757055">
              <w:marLeft w:val="0"/>
              <w:marRight w:val="0"/>
              <w:marTop w:val="0"/>
              <w:marBottom w:val="0"/>
              <w:divBdr>
                <w:top w:val="none" w:sz="0" w:space="0" w:color="auto"/>
                <w:left w:val="none" w:sz="0" w:space="0" w:color="auto"/>
                <w:bottom w:val="none" w:sz="0" w:space="0" w:color="auto"/>
                <w:right w:val="none" w:sz="0" w:space="0" w:color="auto"/>
              </w:divBdr>
            </w:div>
          </w:divsChild>
        </w:div>
        <w:div w:id="1986010734">
          <w:marLeft w:val="0"/>
          <w:marRight w:val="0"/>
          <w:marTop w:val="0"/>
          <w:marBottom w:val="0"/>
          <w:divBdr>
            <w:top w:val="none" w:sz="0" w:space="0" w:color="auto"/>
            <w:left w:val="none" w:sz="0" w:space="0" w:color="auto"/>
            <w:bottom w:val="none" w:sz="0" w:space="0" w:color="auto"/>
            <w:right w:val="none" w:sz="0" w:space="0" w:color="auto"/>
          </w:divBdr>
          <w:divsChild>
            <w:div w:id="939415858">
              <w:marLeft w:val="0"/>
              <w:marRight w:val="0"/>
              <w:marTop w:val="0"/>
              <w:marBottom w:val="0"/>
              <w:divBdr>
                <w:top w:val="none" w:sz="0" w:space="0" w:color="auto"/>
                <w:left w:val="none" w:sz="0" w:space="0" w:color="auto"/>
                <w:bottom w:val="none" w:sz="0" w:space="0" w:color="auto"/>
                <w:right w:val="none" w:sz="0" w:space="0" w:color="auto"/>
              </w:divBdr>
            </w:div>
          </w:divsChild>
        </w:div>
        <w:div w:id="1987052724">
          <w:marLeft w:val="0"/>
          <w:marRight w:val="0"/>
          <w:marTop w:val="0"/>
          <w:marBottom w:val="0"/>
          <w:divBdr>
            <w:top w:val="none" w:sz="0" w:space="0" w:color="auto"/>
            <w:left w:val="none" w:sz="0" w:space="0" w:color="auto"/>
            <w:bottom w:val="none" w:sz="0" w:space="0" w:color="auto"/>
            <w:right w:val="none" w:sz="0" w:space="0" w:color="auto"/>
          </w:divBdr>
          <w:divsChild>
            <w:div w:id="1474979340">
              <w:marLeft w:val="0"/>
              <w:marRight w:val="0"/>
              <w:marTop w:val="0"/>
              <w:marBottom w:val="0"/>
              <w:divBdr>
                <w:top w:val="none" w:sz="0" w:space="0" w:color="auto"/>
                <w:left w:val="none" w:sz="0" w:space="0" w:color="auto"/>
                <w:bottom w:val="none" w:sz="0" w:space="0" w:color="auto"/>
                <w:right w:val="none" w:sz="0" w:space="0" w:color="auto"/>
              </w:divBdr>
            </w:div>
          </w:divsChild>
        </w:div>
        <w:div w:id="2012947363">
          <w:marLeft w:val="0"/>
          <w:marRight w:val="0"/>
          <w:marTop w:val="0"/>
          <w:marBottom w:val="0"/>
          <w:divBdr>
            <w:top w:val="none" w:sz="0" w:space="0" w:color="auto"/>
            <w:left w:val="none" w:sz="0" w:space="0" w:color="auto"/>
            <w:bottom w:val="none" w:sz="0" w:space="0" w:color="auto"/>
            <w:right w:val="none" w:sz="0" w:space="0" w:color="auto"/>
          </w:divBdr>
          <w:divsChild>
            <w:div w:id="1940017401">
              <w:marLeft w:val="0"/>
              <w:marRight w:val="0"/>
              <w:marTop w:val="0"/>
              <w:marBottom w:val="0"/>
              <w:divBdr>
                <w:top w:val="none" w:sz="0" w:space="0" w:color="auto"/>
                <w:left w:val="none" w:sz="0" w:space="0" w:color="auto"/>
                <w:bottom w:val="none" w:sz="0" w:space="0" w:color="auto"/>
                <w:right w:val="none" w:sz="0" w:space="0" w:color="auto"/>
              </w:divBdr>
            </w:div>
          </w:divsChild>
        </w:div>
        <w:div w:id="2073888050">
          <w:marLeft w:val="0"/>
          <w:marRight w:val="0"/>
          <w:marTop w:val="0"/>
          <w:marBottom w:val="0"/>
          <w:divBdr>
            <w:top w:val="none" w:sz="0" w:space="0" w:color="auto"/>
            <w:left w:val="none" w:sz="0" w:space="0" w:color="auto"/>
            <w:bottom w:val="none" w:sz="0" w:space="0" w:color="auto"/>
            <w:right w:val="none" w:sz="0" w:space="0" w:color="auto"/>
          </w:divBdr>
          <w:divsChild>
            <w:div w:id="393353911">
              <w:marLeft w:val="0"/>
              <w:marRight w:val="0"/>
              <w:marTop w:val="0"/>
              <w:marBottom w:val="0"/>
              <w:divBdr>
                <w:top w:val="none" w:sz="0" w:space="0" w:color="auto"/>
                <w:left w:val="none" w:sz="0" w:space="0" w:color="auto"/>
                <w:bottom w:val="none" w:sz="0" w:space="0" w:color="auto"/>
                <w:right w:val="none" w:sz="0" w:space="0" w:color="auto"/>
              </w:divBdr>
            </w:div>
          </w:divsChild>
        </w:div>
        <w:div w:id="2076271432">
          <w:marLeft w:val="0"/>
          <w:marRight w:val="0"/>
          <w:marTop w:val="0"/>
          <w:marBottom w:val="0"/>
          <w:divBdr>
            <w:top w:val="none" w:sz="0" w:space="0" w:color="auto"/>
            <w:left w:val="none" w:sz="0" w:space="0" w:color="auto"/>
            <w:bottom w:val="none" w:sz="0" w:space="0" w:color="auto"/>
            <w:right w:val="none" w:sz="0" w:space="0" w:color="auto"/>
          </w:divBdr>
          <w:divsChild>
            <w:div w:id="1348672897">
              <w:marLeft w:val="0"/>
              <w:marRight w:val="0"/>
              <w:marTop w:val="0"/>
              <w:marBottom w:val="0"/>
              <w:divBdr>
                <w:top w:val="none" w:sz="0" w:space="0" w:color="auto"/>
                <w:left w:val="none" w:sz="0" w:space="0" w:color="auto"/>
                <w:bottom w:val="none" w:sz="0" w:space="0" w:color="auto"/>
                <w:right w:val="none" w:sz="0" w:space="0" w:color="auto"/>
              </w:divBdr>
            </w:div>
          </w:divsChild>
        </w:div>
        <w:div w:id="2095467418">
          <w:marLeft w:val="0"/>
          <w:marRight w:val="0"/>
          <w:marTop w:val="0"/>
          <w:marBottom w:val="0"/>
          <w:divBdr>
            <w:top w:val="none" w:sz="0" w:space="0" w:color="auto"/>
            <w:left w:val="none" w:sz="0" w:space="0" w:color="auto"/>
            <w:bottom w:val="none" w:sz="0" w:space="0" w:color="auto"/>
            <w:right w:val="none" w:sz="0" w:space="0" w:color="auto"/>
          </w:divBdr>
          <w:divsChild>
            <w:div w:id="1230774601">
              <w:marLeft w:val="0"/>
              <w:marRight w:val="0"/>
              <w:marTop w:val="0"/>
              <w:marBottom w:val="0"/>
              <w:divBdr>
                <w:top w:val="none" w:sz="0" w:space="0" w:color="auto"/>
                <w:left w:val="none" w:sz="0" w:space="0" w:color="auto"/>
                <w:bottom w:val="none" w:sz="0" w:space="0" w:color="auto"/>
                <w:right w:val="none" w:sz="0" w:space="0" w:color="auto"/>
              </w:divBdr>
            </w:div>
          </w:divsChild>
        </w:div>
        <w:div w:id="2120490361">
          <w:marLeft w:val="0"/>
          <w:marRight w:val="0"/>
          <w:marTop w:val="0"/>
          <w:marBottom w:val="0"/>
          <w:divBdr>
            <w:top w:val="none" w:sz="0" w:space="0" w:color="auto"/>
            <w:left w:val="none" w:sz="0" w:space="0" w:color="auto"/>
            <w:bottom w:val="none" w:sz="0" w:space="0" w:color="auto"/>
            <w:right w:val="none" w:sz="0" w:space="0" w:color="auto"/>
          </w:divBdr>
          <w:divsChild>
            <w:div w:id="30421963">
              <w:marLeft w:val="0"/>
              <w:marRight w:val="0"/>
              <w:marTop w:val="0"/>
              <w:marBottom w:val="0"/>
              <w:divBdr>
                <w:top w:val="none" w:sz="0" w:space="0" w:color="auto"/>
                <w:left w:val="none" w:sz="0" w:space="0" w:color="auto"/>
                <w:bottom w:val="none" w:sz="0" w:space="0" w:color="auto"/>
                <w:right w:val="none" w:sz="0" w:space="0" w:color="auto"/>
              </w:divBdr>
            </w:div>
          </w:divsChild>
        </w:div>
        <w:div w:id="2127314440">
          <w:marLeft w:val="0"/>
          <w:marRight w:val="0"/>
          <w:marTop w:val="0"/>
          <w:marBottom w:val="0"/>
          <w:divBdr>
            <w:top w:val="none" w:sz="0" w:space="0" w:color="auto"/>
            <w:left w:val="none" w:sz="0" w:space="0" w:color="auto"/>
            <w:bottom w:val="none" w:sz="0" w:space="0" w:color="auto"/>
            <w:right w:val="none" w:sz="0" w:space="0" w:color="auto"/>
          </w:divBdr>
          <w:divsChild>
            <w:div w:id="2582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9751">
      <w:bodyDiv w:val="1"/>
      <w:marLeft w:val="0"/>
      <w:marRight w:val="0"/>
      <w:marTop w:val="0"/>
      <w:marBottom w:val="0"/>
      <w:divBdr>
        <w:top w:val="none" w:sz="0" w:space="0" w:color="auto"/>
        <w:left w:val="none" w:sz="0" w:space="0" w:color="auto"/>
        <w:bottom w:val="none" w:sz="0" w:space="0" w:color="auto"/>
        <w:right w:val="none" w:sz="0" w:space="0" w:color="auto"/>
      </w:divBdr>
    </w:div>
    <w:div w:id="1545825985">
      <w:bodyDiv w:val="1"/>
      <w:marLeft w:val="0"/>
      <w:marRight w:val="0"/>
      <w:marTop w:val="0"/>
      <w:marBottom w:val="0"/>
      <w:divBdr>
        <w:top w:val="none" w:sz="0" w:space="0" w:color="auto"/>
        <w:left w:val="none" w:sz="0" w:space="0" w:color="auto"/>
        <w:bottom w:val="none" w:sz="0" w:space="0" w:color="auto"/>
        <w:right w:val="none" w:sz="0" w:space="0" w:color="auto"/>
      </w:divBdr>
    </w:div>
    <w:div w:id="1708334969">
      <w:bodyDiv w:val="1"/>
      <w:marLeft w:val="0"/>
      <w:marRight w:val="0"/>
      <w:marTop w:val="0"/>
      <w:marBottom w:val="0"/>
      <w:divBdr>
        <w:top w:val="none" w:sz="0" w:space="0" w:color="auto"/>
        <w:left w:val="none" w:sz="0" w:space="0" w:color="auto"/>
        <w:bottom w:val="none" w:sz="0" w:space="0" w:color="auto"/>
        <w:right w:val="none" w:sz="0" w:space="0" w:color="auto"/>
      </w:divBdr>
    </w:div>
    <w:div w:id="1734423577">
      <w:bodyDiv w:val="1"/>
      <w:marLeft w:val="0"/>
      <w:marRight w:val="0"/>
      <w:marTop w:val="0"/>
      <w:marBottom w:val="0"/>
      <w:divBdr>
        <w:top w:val="none" w:sz="0" w:space="0" w:color="auto"/>
        <w:left w:val="none" w:sz="0" w:space="0" w:color="auto"/>
        <w:bottom w:val="none" w:sz="0" w:space="0" w:color="auto"/>
        <w:right w:val="none" w:sz="0" w:space="0" w:color="auto"/>
      </w:divBdr>
    </w:div>
    <w:div w:id="1784298900">
      <w:bodyDiv w:val="1"/>
      <w:marLeft w:val="0"/>
      <w:marRight w:val="0"/>
      <w:marTop w:val="0"/>
      <w:marBottom w:val="0"/>
      <w:divBdr>
        <w:top w:val="none" w:sz="0" w:space="0" w:color="auto"/>
        <w:left w:val="none" w:sz="0" w:space="0" w:color="auto"/>
        <w:bottom w:val="none" w:sz="0" w:space="0" w:color="auto"/>
        <w:right w:val="none" w:sz="0" w:space="0" w:color="auto"/>
      </w:divBdr>
    </w:div>
    <w:div w:id="1848979974">
      <w:bodyDiv w:val="1"/>
      <w:marLeft w:val="0"/>
      <w:marRight w:val="0"/>
      <w:marTop w:val="0"/>
      <w:marBottom w:val="0"/>
      <w:divBdr>
        <w:top w:val="none" w:sz="0" w:space="0" w:color="auto"/>
        <w:left w:val="none" w:sz="0" w:space="0" w:color="auto"/>
        <w:bottom w:val="none" w:sz="0" w:space="0" w:color="auto"/>
        <w:right w:val="none" w:sz="0" w:space="0" w:color="auto"/>
      </w:divBdr>
    </w:div>
    <w:div w:id="1885679209">
      <w:bodyDiv w:val="1"/>
      <w:marLeft w:val="0"/>
      <w:marRight w:val="0"/>
      <w:marTop w:val="0"/>
      <w:marBottom w:val="0"/>
      <w:divBdr>
        <w:top w:val="none" w:sz="0" w:space="0" w:color="auto"/>
        <w:left w:val="none" w:sz="0" w:space="0" w:color="auto"/>
        <w:bottom w:val="none" w:sz="0" w:space="0" w:color="auto"/>
        <w:right w:val="none" w:sz="0" w:space="0" w:color="auto"/>
      </w:divBdr>
    </w:div>
    <w:div w:id="1912471655">
      <w:bodyDiv w:val="1"/>
      <w:marLeft w:val="0"/>
      <w:marRight w:val="0"/>
      <w:marTop w:val="0"/>
      <w:marBottom w:val="0"/>
      <w:divBdr>
        <w:top w:val="none" w:sz="0" w:space="0" w:color="auto"/>
        <w:left w:val="none" w:sz="0" w:space="0" w:color="auto"/>
        <w:bottom w:val="none" w:sz="0" w:space="0" w:color="auto"/>
        <w:right w:val="none" w:sz="0" w:space="0" w:color="auto"/>
      </w:divBdr>
    </w:div>
    <w:div w:id="2114085651">
      <w:bodyDiv w:val="1"/>
      <w:marLeft w:val="0"/>
      <w:marRight w:val="0"/>
      <w:marTop w:val="0"/>
      <w:marBottom w:val="0"/>
      <w:divBdr>
        <w:top w:val="none" w:sz="0" w:space="0" w:color="auto"/>
        <w:left w:val="none" w:sz="0" w:space="0" w:color="auto"/>
        <w:bottom w:val="none" w:sz="0" w:space="0" w:color="auto"/>
        <w:right w:val="none" w:sz="0" w:space="0" w:color="auto"/>
      </w:divBdr>
    </w:div>
    <w:div w:id="21372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hools.norfolk.gov.uk/school-finance/norfolk-schools-forum/forum-agendas-and-papers" TargetMode="External"/><Relationship Id="rId18" Type="http://schemas.openxmlformats.org/officeDocument/2006/relationships/hyperlink" Target="https://www.gov.uk/government/publications/pre-16-schools-funding-local-authority-guidance-for-2023-to-2024/schools-operational-guide-2023-to-2024"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schools.norfolk.gov.uk/school-finance/norfolk-schools-forum/forum-minu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ols.norfolk.gov.uk/school-finance/norfolk-schools-forum/forum-agendas-and-papers" TargetMode="External"/><Relationship Id="rId5" Type="http://schemas.openxmlformats.org/officeDocument/2006/relationships/numbering" Target="numbering.xml"/><Relationship Id="rId15" Type="http://schemas.openxmlformats.org/officeDocument/2006/relationships/hyperlink" Target="https://www.norfolk.gov.uk/news/2018/06/norfolk-research-highlights-success-of-boarding-partnership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mainstream-schools-additional-grant-2023-to-20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mainstream-schools-additional-grant-2023-to-2024" TargetMode="External"/><Relationship Id="rId1" Type="http://schemas.openxmlformats.org/officeDocument/2006/relationships/hyperlink" Target="https://www.gov.uk/government/news/investment-to-shield-schools-from-high-energy-bills-and-boost-to-budgets" TargetMode="External"/></Relationships>
</file>

<file path=word/documenttasks/documenttasks1.xml><?xml version="1.0" encoding="utf-8"?>
<t:Tasks xmlns:t="http://schemas.microsoft.com/office/tasks/2019/documenttasks" xmlns:oel="http://schemas.microsoft.com/office/2019/extlst">
  <t:Task id="{07EA321D-B55C-4C07-A72C-97DB28663FDD}">
    <t:Anchor>
      <t:Comment id="629592944"/>
    </t:Anchor>
    <t:History>
      <t:Event id="{F5692883-06F9-4133-B1BF-85538E82EEE7}" time="2022-01-11T07:33:49.633Z">
        <t:Attribution userId="S::s91za@norfolk.gov.uk::fcd686e1-a73a-406e-a026-5f209e0264a3" userProvider="AD" userName="Rushbrook, Su"/>
        <t:Anchor>
          <t:Comment id="1224426520"/>
        </t:Anchor>
        <t:Create/>
      </t:Event>
      <t:Event id="{F1FCB16C-4739-471C-B43E-6045269819F9}" time="2022-01-11T07:33:49.633Z">
        <t:Attribution userId="S::s91za@norfolk.gov.uk::fcd686e1-a73a-406e-a026-5f209e0264a3" userProvider="AD" userName="Rushbrook, Su"/>
        <t:Anchor>
          <t:Comment id="1224426520"/>
        </t:Anchor>
        <t:Assign userId="S::edfbk@norfolk.gov.uk::e5b67d24-0af2-40af-afc2-0dbb2182c833" userProvider="AD" userName="Brock, Martin"/>
      </t:Event>
      <t:Event id="{7D784ED2-5261-4E00-9418-1361A3964208}" time="2022-01-11T07:33:49.633Z">
        <t:Attribution userId="S::s91za@norfolk.gov.uk::fcd686e1-a73a-406e-a026-5f209e0264a3" userProvider="AD" userName="Rushbrook, Su"/>
        <t:Anchor>
          <t:Comment id="1224426520"/>
        </t:Anchor>
        <t:SetTitle title="@Brock, Martin would suggest replacing -  The percentage of children taking or some or all of their funded entitlement has increased, but the number of 3- and 4- year-olds has reduced and we have noticed more children are taking up only part of thei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4D89692013334C8BE1A83EDA924D94" ma:contentTypeVersion="4" ma:contentTypeDescription="Create a new document." ma:contentTypeScope="" ma:versionID="16a6c8aa6e0885a22852d7d1062fed78">
  <xsd:schema xmlns:xsd="http://www.w3.org/2001/XMLSchema" xmlns:xs="http://www.w3.org/2001/XMLSchema" xmlns:p="http://schemas.microsoft.com/office/2006/metadata/properties" xmlns:ns2="ac83ab42-ed10-432a-806a-c24ed9637c34" xmlns:ns3="113b9d36-1f0c-4940-a7db-eeee8038600d" targetNamespace="http://schemas.microsoft.com/office/2006/metadata/properties" ma:root="true" ma:fieldsID="be12a2cd21a62f0d93495d4ae1469acd" ns2:_="" ns3:_="">
    <xsd:import namespace="ac83ab42-ed10-432a-806a-c24ed9637c34"/>
    <xsd:import namespace="113b9d36-1f0c-4940-a7db-eeee803860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3ab42-ed10-432a-806a-c24ed9637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b9d36-1f0c-4940-a7db-eeee803860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099FEC-3E30-4C66-8D6B-B12C135DA418}">
  <ds:schemaRefs>
    <ds:schemaRef ds:uri="http://schemas.openxmlformats.org/officeDocument/2006/bibliography"/>
  </ds:schemaRefs>
</ds:datastoreItem>
</file>

<file path=customXml/itemProps2.xml><?xml version="1.0" encoding="utf-8"?>
<ds:datastoreItem xmlns:ds="http://schemas.openxmlformats.org/officeDocument/2006/customXml" ds:itemID="{2FB383E1-39EF-4396-A17A-72C4BDCF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3ab42-ed10-432a-806a-c24ed9637c34"/>
    <ds:schemaRef ds:uri="113b9d36-1f0c-4940-a7db-eeee80386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F082D-7C13-469C-8F89-182601E861C0}">
  <ds:schemaRefs>
    <ds:schemaRef ds:uri="http://schemas.microsoft.com/sharepoint/v3/contenttype/forms"/>
  </ds:schemaRefs>
</ds:datastoreItem>
</file>

<file path=customXml/itemProps4.xml><?xml version="1.0" encoding="utf-8"?>
<ds:datastoreItem xmlns:ds="http://schemas.openxmlformats.org/officeDocument/2006/customXml" ds:itemID="{54B2D615-A41E-40E7-918B-B6CB53682A68}">
  <ds:schemaRefs>
    <ds:schemaRef ds:uri="http://purl.org/dc/terms/"/>
    <ds:schemaRef ds:uri="http://schemas.openxmlformats.org/package/2006/metadata/core-properties"/>
    <ds:schemaRef ds:uri="ac83ab42-ed10-432a-806a-c24ed9637c34"/>
    <ds:schemaRef ds:uri="http://schemas.microsoft.com/office/2006/documentManagement/types"/>
    <ds:schemaRef ds:uri="http://schemas.microsoft.com/office/infopath/2007/PartnerControls"/>
    <ds:schemaRef ds:uri="http://purl.org/dc/elements/1.1/"/>
    <ds:schemaRef ds:uri="http://schemas.microsoft.com/office/2006/metadata/properties"/>
    <ds:schemaRef ds:uri="113b9d36-1f0c-4940-a7db-eeee8038600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5873</Words>
  <Characters>33480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39275</CharactersWithSpaces>
  <SharedDoc>false</SharedDoc>
  <HLinks>
    <vt:vector size="48" baseType="variant">
      <vt:variant>
        <vt:i4>6750333</vt:i4>
      </vt:variant>
      <vt:variant>
        <vt:i4>15</vt:i4>
      </vt:variant>
      <vt:variant>
        <vt:i4>0</vt:i4>
      </vt:variant>
      <vt:variant>
        <vt:i4>5</vt:i4>
      </vt:variant>
      <vt:variant>
        <vt:lpwstr>https://www.gov.uk/government/publications/pre-16-schools-funding-local-authority-guidance-for-2023-to-2024/schools-operational-guide-2023-to-2024</vt:lpwstr>
      </vt:variant>
      <vt:variant>
        <vt:lpwstr>responsibilities-held-for-all-schools</vt:lpwstr>
      </vt:variant>
      <vt:variant>
        <vt:i4>1310731</vt:i4>
      </vt:variant>
      <vt:variant>
        <vt:i4>12</vt:i4>
      </vt:variant>
      <vt:variant>
        <vt:i4>0</vt:i4>
      </vt:variant>
      <vt:variant>
        <vt:i4>5</vt:i4>
      </vt:variant>
      <vt:variant>
        <vt:lpwstr>https://www.norfolk.gov.uk/news/2018/06/norfolk-research-highlights-success-of-boarding-partnerships</vt:lpwstr>
      </vt:variant>
      <vt:variant>
        <vt:lpwstr/>
      </vt:variant>
      <vt:variant>
        <vt:i4>7143473</vt:i4>
      </vt:variant>
      <vt:variant>
        <vt:i4>9</vt:i4>
      </vt:variant>
      <vt:variant>
        <vt:i4>0</vt:i4>
      </vt:variant>
      <vt:variant>
        <vt:i4>5</vt:i4>
      </vt:variant>
      <vt:variant>
        <vt:lpwstr>https://www.gov.uk/government/publications/mainstream-schools-additional-grant-2023-to-2024</vt:lpwstr>
      </vt:variant>
      <vt:variant>
        <vt:lpwstr/>
      </vt:variant>
      <vt:variant>
        <vt:i4>786444</vt:i4>
      </vt:variant>
      <vt:variant>
        <vt:i4>6</vt:i4>
      </vt:variant>
      <vt:variant>
        <vt:i4>0</vt:i4>
      </vt:variant>
      <vt:variant>
        <vt:i4>5</vt:i4>
      </vt:variant>
      <vt:variant>
        <vt:lpwstr>https://www.schools.norfolk.gov.uk/school-finance/norfolk-schools-forum/forum-agendas-and-papers</vt:lpwstr>
      </vt:variant>
      <vt:variant>
        <vt:lpwstr/>
      </vt:variant>
      <vt:variant>
        <vt:i4>262175</vt:i4>
      </vt:variant>
      <vt:variant>
        <vt:i4>3</vt:i4>
      </vt:variant>
      <vt:variant>
        <vt:i4>0</vt:i4>
      </vt:variant>
      <vt:variant>
        <vt:i4>5</vt:i4>
      </vt:variant>
      <vt:variant>
        <vt:lpwstr>https://www.schools.norfolk.gov.uk/school-finance/norfolk-schools-forum/forum-minutes</vt:lpwstr>
      </vt:variant>
      <vt:variant>
        <vt:lpwstr/>
      </vt:variant>
      <vt:variant>
        <vt:i4>786444</vt:i4>
      </vt:variant>
      <vt:variant>
        <vt:i4>0</vt:i4>
      </vt:variant>
      <vt:variant>
        <vt:i4>0</vt:i4>
      </vt:variant>
      <vt:variant>
        <vt:i4>5</vt:i4>
      </vt:variant>
      <vt:variant>
        <vt:lpwstr>https://www.schools.norfolk.gov.uk/school-finance/norfolk-schools-forum/forum-agendas-and-papers</vt:lpwstr>
      </vt:variant>
      <vt:variant>
        <vt:lpwstr/>
      </vt:variant>
      <vt:variant>
        <vt:i4>7143473</vt:i4>
      </vt:variant>
      <vt:variant>
        <vt:i4>3</vt:i4>
      </vt:variant>
      <vt:variant>
        <vt:i4>0</vt:i4>
      </vt:variant>
      <vt:variant>
        <vt:i4>5</vt:i4>
      </vt:variant>
      <vt:variant>
        <vt:lpwstr>https://www.gov.uk/government/publications/mainstream-schools-additional-grant-2023-to-2024</vt:lpwstr>
      </vt:variant>
      <vt:variant>
        <vt:lpwstr/>
      </vt:variant>
      <vt:variant>
        <vt:i4>6684712</vt:i4>
      </vt:variant>
      <vt:variant>
        <vt:i4>0</vt:i4>
      </vt:variant>
      <vt:variant>
        <vt:i4>0</vt:i4>
      </vt:variant>
      <vt:variant>
        <vt:i4>5</vt:i4>
      </vt:variant>
      <vt:variant>
        <vt:lpwstr>https://www.gov.uk/government/news/investment-to-shield-schools-from-high-energy-bills-and-boost-to-budgets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Schools Budget 2023-24</dc:title>
  <dc:subject/>
  <dc:creator>martin.brock@norfolk.gov.uk</dc:creator>
  <cp:keywords>Norfolk Schools Forum</cp:keywords>
  <dc:description/>
  <cp:lastModifiedBy>Deborah Harding</cp:lastModifiedBy>
  <cp:revision>4</cp:revision>
  <dcterms:created xsi:type="dcterms:W3CDTF">2023-01-23T16:23:00Z</dcterms:created>
  <dcterms:modified xsi:type="dcterms:W3CDTF">2023-01-23T17:15:00Z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0x0101005C4D89692013334C8BE1A83EDA924D94</vt:lpwstr>
  </property>
</Properties>
</file>